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265A6A">
        <w:trPr>
          <w:trHeight w:val="851"/>
        </w:trPr>
        <w:tc>
          <w:tcPr>
            <w:tcW w:w="1259" w:type="dxa"/>
            <w:tcBorders>
              <w:top w:val="nil"/>
              <w:left w:val="nil"/>
              <w:bottom w:val="single" w:sz="4" w:space="0" w:color="auto"/>
              <w:right w:val="nil"/>
            </w:tcBorders>
          </w:tcPr>
          <w:p w:rsidR="00446DE4" w:rsidRDefault="00446DE4" w:rsidP="00473FF8">
            <w:pPr>
              <w:spacing w:after="80" w:line="340" w:lineRule="exact"/>
            </w:pPr>
          </w:p>
        </w:tc>
        <w:tc>
          <w:tcPr>
            <w:tcW w:w="2236" w:type="dxa"/>
            <w:tcBorders>
              <w:top w:val="nil"/>
              <w:left w:val="nil"/>
              <w:bottom w:val="single" w:sz="4" w:space="0" w:color="auto"/>
              <w:right w:val="nil"/>
            </w:tcBorders>
            <w:vAlign w:val="bottom"/>
          </w:tcPr>
          <w:p w:rsidR="00446DE4" w:rsidRPr="00963CBA" w:rsidRDefault="00446DE4" w:rsidP="00473FF8">
            <w:pPr>
              <w:spacing w:after="80" w:line="340" w:lineRule="exact"/>
              <w:rPr>
                <w:sz w:val="28"/>
                <w:szCs w:val="28"/>
              </w:rPr>
            </w:pPr>
          </w:p>
        </w:tc>
        <w:tc>
          <w:tcPr>
            <w:tcW w:w="6144" w:type="dxa"/>
            <w:gridSpan w:val="2"/>
            <w:tcBorders>
              <w:top w:val="nil"/>
              <w:left w:val="nil"/>
              <w:bottom w:val="single" w:sz="4" w:space="0" w:color="auto"/>
              <w:right w:val="nil"/>
            </w:tcBorders>
            <w:vAlign w:val="bottom"/>
          </w:tcPr>
          <w:p w:rsidR="00446DE4" w:rsidRPr="00942BE3" w:rsidRDefault="002D4C6A" w:rsidP="002D4C6A">
            <w:pPr>
              <w:jc w:val="right"/>
            </w:pPr>
            <w:r w:rsidRPr="002D4C6A">
              <w:rPr>
                <w:sz w:val="40"/>
              </w:rPr>
              <w:t>CRC</w:t>
            </w:r>
            <w:r>
              <w:t>/C/NPL/CO/3-5</w:t>
            </w:r>
          </w:p>
        </w:tc>
      </w:tr>
      <w:tr w:rsidR="003107FA" w:rsidTr="00265A6A">
        <w:trPr>
          <w:trHeight w:val="2835"/>
        </w:trPr>
        <w:tc>
          <w:tcPr>
            <w:tcW w:w="1259" w:type="dxa"/>
            <w:tcBorders>
              <w:top w:val="single" w:sz="4" w:space="0" w:color="auto"/>
              <w:left w:val="nil"/>
              <w:bottom w:val="single" w:sz="12" w:space="0" w:color="auto"/>
              <w:right w:val="nil"/>
            </w:tcBorders>
          </w:tcPr>
          <w:p w:rsidR="003107FA" w:rsidRDefault="003107FA" w:rsidP="00942BE3">
            <w:pPr>
              <w:spacing w:before="120"/>
              <w:jc w:val="center"/>
            </w:pPr>
          </w:p>
        </w:tc>
        <w:tc>
          <w:tcPr>
            <w:tcW w:w="5450" w:type="dxa"/>
            <w:gridSpan w:val="2"/>
            <w:tcBorders>
              <w:top w:val="single" w:sz="4" w:space="0" w:color="auto"/>
              <w:left w:val="nil"/>
              <w:bottom w:val="single" w:sz="12" w:space="0" w:color="auto"/>
              <w:right w:val="nil"/>
            </w:tcBorders>
          </w:tcPr>
          <w:p w:rsidR="003107FA" w:rsidRPr="00D90876" w:rsidRDefault="00D90876" w:rsidP="005C50EF">
            <w:pPr>
              <w:spacing w:before="120" w:line="420" w:lineRule="exact"/>
              <w:rPr>
                <w:b/>
                <w:sz w:val="34"/>
                <w:szCs w:val="34"/>
              </w:rPr>
            </w:pPr>
            <w:r>
              <w:rPr>
                <w:b/>
                <w:sz w:val="34"/>
                <w:szCs w:val="34"/>
              </w:rPr>
              <w:t>ADVANCE UNEDITED VERSION</w:t>
            </w:r>
          </w:p>
        </w:tc>
        <w:tc>
          <w:tcPr>
            <w:tcW w:w="2930" w:type="dxa"/>
            <w:tcBorders>
              <w:top w:val="single" w:sz="4" w:space="0" w:color="auto"/>
              <w:left w:val="nil"/>
              <w:bottom w:val="single" w:sz="12" w:space="0" w:color="auto"/>
              <w:right w:val="nil"/>
            </w:tcBorders>
          </w:tcPr>
          <w:p w:rsidR="003107FA" w:rsidRDefault="002D4C6A" w:rsidP="002D4C6A">
            <w:pPr>
              <w:spacing w:before="240" w:line="240" w:lineRule="exact"/>
            </w:pPr>
            <w:r>
              <w:t>Distr.: General</w:t>
            </w:r>
          </w:p>
          <w:p w:rsidR="002D4C6A" w:rsidRDefault="002D4C6A" w:rsidP="002D4C6A">
            <w:pPr>
              <w:spacing w:line="240" w:lineRule="exact"/>
            </w:pPr>
            <w:r>
              <w:t>3 June 2016</w:t>
            </w:r>
          </w:p>
          <w:p w:rsidR="002D4C6A" w:rsidRDefault="002D4C6A" w:rsidP="002D4C6A">
            <w:pPr>
              <w:spacing w:line="240" w:lineRule="exact"/>
            </w:pPr>
          </w:p>
          <w:p w:rsidR="002D4C6A" w:rsidRDefault="002D4C6A" w:rsidP="002D4C6A">
            <w:pPr>
              <w:spacing w:line="240" w:lineRule="exact"/>
            </w:pPr>
            <w:r>
              <w:t>Original: English</w:t>
            </w:r>
          </w:p>
        </w:tc>
      </w:tr>
    </w:tbl>
    <w:p w:rsidR="00265A6A" w:rsidRPr="002A74E3" w:rsidRDefault="00265A6A" w:rsidP="00265A6A">
      <w:pPr>
        <w:spacing w:before="120"/>
        <w:rPr>
          <w:b/>
          <w:sz w:val="24"/>
          <w:szCs w:val="24"/>
        </w:rPr>
      </w:pPr>
      <w:r w:rsidRPr="002A74E3">
        <w:rPr>
          <w:b/>
          <w:sz w:val="24"/>
          <w:szCs w:val="24"/>
        </w:rPr>
        <w:t>Committee on the Rights of the Child</w:t>
      </w:r>
    </w:p>
    <w:p w:rsidR="00265A6A" w:rsidRPr="002A74E3" w:rsidRDefault="00265A6A" w:rsidP="00265A6A">
      <w:pPr>
        <w:keepNext/>
        <w:keepLines/>
        <w:tabs>
          <w:tab w:val="right" w:pos="851"/>
        </w:tabs>
        <w:spacing w:before="360" w:after="240" w:line="300" w:lineRule="exact"/>
        <w:ind w:left="1134" w:right="1134" w:hanging="1134"/>
        <w:jc w:val="both"/>
        <w:rPr>
          <w:b/>
          <w:sz w:val="28"/>
        </w:rPr>
      </w:pPr>
      <w:r w:rsidRPr="002A74E3">
        <w:rPr>
          <w:b/>
          <w:sz w:val="28"/>
        </w:rPr>
        <w:tab/>
      </w:r>
      <w:r w:rsidRPr="002A74E3">
        <w:rPr>
          <w:b/>
          <w:sz w:val="28"/>
        </w:rPr>
        <w:tab/>
        <w:t>Concluding observations on the third to fifth</w:t>
      </w:r>
      <w:r w:rsidRPr="002A74E3">
        <w:rPr>
          <w:b/>
          <w:color w:val="000000" w:themeColor="text1"/>
          <w:sz w:val="28"/>
        </w:rPr>
        <w:t xml:space="preserve"> </w:t>
      </w:r>
      <w:r w:rsidRPr="002A74E3">
        <w:rPr>
          <w:b/>
          <w:sz w:val="28"/>
        </w:rPr>
        <w:t xml:space="preserve">periodic reports of </w:t>
      </w:r>
      <w:r>
        <w:rPr>
          <w:b/>
          <w:sz w:val="28"/>
        </w:rPr>
        <w:t>Nepal</w:t>
      </w:r>
      <w:r w:rsidRPr="002A74E3">
        <w:footnoteReference w:customMarkFollows="1" w:id="2"/>
        <w:t>*</w:t>
      </w:r>
    </w:p>
    <w:p w:rsidR="002D4C6A" w:rsidRPr="002D4C6A" w:rsidRDefault="002D4C6A" w:rsidP="002D4C6A">
      <w:pPr>
        <w:pStyle w:val="HChG"/>
      </w:pPr>
      <w:r>
        <w:tab/>
      </w:r>
      <w:r w:rsidRPr="002D4C6A">
        <w:t>I.</w:t>
      </w:r>
      <w:r w:rsidRPr="002D4C6A">
        <w:tab/>
        <w:t>Introduction</w:t>
      </w:r>
    </w:p>
    <w:p w:rsidR="002D4C6A" w:rsidRPr="002D4C6A" w:rsidRDefault="002D4C6A" w:rsidP="002D4C6A">
      <w:pPr>
        <w:pStyle w:val="SingleTxtG"/>
        <w:numPr>
          <w:ilvl w:val="0"/>
          <w:numId w:val="36"/>
        </w:numPr>
        <w:ind w:left="1134" w:firstLine="0"/>
      </w:pPr>
      <w:r w:rsidRPr="002D4C6A">
        <w:t>The Committee considered the combined third to fifth periodic reports of Nepal (CRC/C/NPL/3-5) at its 2110th and 2111</w:t>
      </w:r>
      <w:r w:rsidR="00903AC2">
        <w:t>th</w:t>
      </w:r>
      <w:r w:rsidRPr="002D4C6A">
        <w:t xml:space="preserve"> meetings (see CRC/C/SR.2110 and 2111), held on 19 and 20 May 2016, and adopted the following concluding observations at its 2132</w:t>
      </w:r>
      <w:r w:rsidRPr="002D4C6A">
        <w:rPr>
          <w:vertAlign w:val="superscript"/>
        </w:rPr>
        <w:t>nd</w:t>
      </w:r>
      <w:r w:rsidRPr="002D4C6A">
        <w:t xml:space="preserve"> meeting (see CRC/C/SR.2132), held on 3 June 2016. </w:t>
      </w:r>
    </w:p>
    <w:p w:rsidR="002D4C6A" w:rsidRPr="002D4C6A" w:rsidRDefault="002D4C6A" w:rsidP="002D4C6A">
      <w:pPr>
        <w:pStyle w:val="SingleTxtG"/>
        <w:numPr>
          <w:ilvl w:val="0"/>
          <w:numId w:val="36"/>
        </w:numPr>
        <w:ind w:left="1134" w:firstLine="0"/>
      </w:pPr>
      <w:r w:rsidRPr="002D4C6A">
        <w:t xml:space="preserve">The Committee welcomes the submission of the combined third to fifth periodic reports of the State party and the written replies to the list of issues (CRC/C/NPL/Q/3-5/Add.1), which allowed for a better understanding of the situation of children’s rights in the State party. The Committee expresses appreciation for the constructive dialogue held with the </w:t>
      </w:r>
      <w:proofErr w:type="spellStart"/>
      <w:r w:rsidRPr="002D4C6A">
        <w:t>multisectoral</w:t>
      </w:r>
      <w:proofErr w:type="spellEnd"/>
      <w:r w:rsidRPr="002D4C6A">
        <w:t xml:space="preserve"> delegation of the State party. </w:t>
      </w:r>
    </w:p>
    <w:p w:rsidR="002D4C6A" w:rsidRPr="002D4C6A" w:rsidRDefault="002D4C6A" w:rsidP="002D4C6A">
      <w:pPr>
        <w:pStyle w:val="HChG"/>
      </w:pPr>
      <w:r w:rsidRPr="002D4C6A">
        <w:tab/>
        <w:t>II.</w:t>
      </w:r>
      <w:r w:rsidRPr="002D4C6A">
        <w:tab/>
        <w:t>Follow-up measures undertaken and progress achieved by the State party</w:t>
      </w:r>
    </w:p>
    <w:p w:rsidR="002D4C6A" w:rsidRPr="002D4C6A" w:rsidRDefault="002D4C6A" w:rsidP="002D4C6A">
      <w:pPr>
        <w:pStyle w:val="SingleTxtG"/>
        <w:numPr>
          <w:ilvl w:val="0"/>
          <w:numId w:val="36"/>
        </w:numPr>
        <w:ind w:left="1134" w:firstLine="0"/>
      </w:pPr>
      <w:r w:rsidRPr="002D4C6A">
        <w:t>The Committee welcomes the ratification of or accession to the following instruments:</w:t>
      </w:r>
    </w:p>
    <w:p w:rsidR="002D4C6A" w:rsidRPr="002D4C6A" w:rsidRDefault="002D4C6A" w:rsidP="002D4C6A">
      <w:pPr>
        <w:pStyle w:val="SingleTxtG"/>
        <w:ind w:firstLine="567"/>
        <w:rPr>
          <w:lang w:val="en-US"/>
        </w:rPr>
      </w:pPr>
      <w:r w:rsidRPr="002D4C6A">
        <w:rPr>
          <w:lang w:val="en-US"/>
        </w:rPr>
        <w:t>(a)</w:t>
      </w:r>
      <w:r w:rsidRPr="002D4C6A">
        <w:rPr>
          <w:lang w:val="en-US"/>
        </w:rPr>
        <w:tab/>
        <w:t>The Convention on the Rights of Persons with Disabilities and its Optional Protocol, in 2010</w:t>
      </w:r>
      <w:r w:rsidRPr="002D4C6A">
        <w:t xml:space="preserve">; </w:t>
      </w:r>
    </w:p>
    <w:p w:rsidR="002D4C6A" w:rsidRPr="002D4C6A" w:rsidRDefault="002D4C6A" w:rsidP="002D4C6A">
      <w:pPr>
        <w:pStyle w:val="SingleTxtG"/>
        <w:ind w:firstLine="567"/>
        <w:rPr>
          <w:lang w:val="en-US"/>
        </w:rPr>
      </w:pPr>
      <w:r w:rsidRPr="002D4C6A">
        <w:rPr>
          <w:lang w:val="en-US"/>
        </w:rPr>
        <w:t>(b)</w:t>
      </w:r>
      <w:r w:rsidRPr="002D4C6A">
        <w:rPr>
          <w:lang w:val="en-US"/>
        </w:rPr>
        <w:tab/>
        <w:t>The Optional Protocol to the Convention on the Elimination of All Forms of Discrimination against Women, in 2007; and,</w:t>
      </w:r>
    </w:p>
    <w:p w:rsidR="002D4C6A" w:rsidRPr="002D4C6A" w:rsidRDefault="002D4C6A" w:rsidP="002D4C6A">
      <w:pPr>
        <w:pStyle w:val="SingleTxtG"/>
        <w:ind w:firstLine="567"/>
        <w:rPr>
          <w:lang w:val="en-US"/>
        </w:rPr>
      </w:pPr>
      <w:r w:rsidRPr="002D4C6A">
        <w:rPr>
          <w:lang w:val="en-US"/>
        </w:rPr>
        <w:t>(c)</w:t>
      </w:r>
      <w:r w:rsidRPr="002D4C6A">
        <w:rPr>
          <w:lang w:val="en-US"/>
        </w:rPr>
        <w:tab/>
        <w:t xml:space="preserve">The International </w:t>
      </w:r>
      <w:proofErr w:type="spellStart"/>
      <w:r w:rsidRPr="002D4C6A">
        <w:rPr>
          <w:lang w:val="en-US"/>
        </w:rPr>
        <w:t>Labour</w:t>
      </w:r>
      <w:proofErr w:type="spellEnd"/>
      <w:r w:rsidRPr="002D4C6A">
        <w:rPr>
          <w:lang w:val="en-US"/>
        </w:rPr>
        <w:t xml:space="preserve"> Organization Convention No. 169 on Indigenous and Tribal Peoples, in 2007.</w:t>
      </w:r>
    </w:p>
    <w:p w:rsidR="002D4C6A" w:rsidRPr="002D4C6A" w:rsidRDefault="002D4C6A" w:rsidP="00F97471">
      <w:pPr>
        <w:pStyle w:val="SingleTxtG"/>
        <w:numPr>
          <w:ilvl w:val="0"/>
          <w:numId w:val="36"/>
        </w:numPr>
        <w:ind w:left="1134" w:firstLine="0"/>
      </w:pPr>
      <w:r w:rsidRPr="002D4C6A">
        <w:t>The Committee notes with appreciation the adoption of the following legislative measures:</w:t>
      </w:r>
    </w:p>
    <w:p w:rsidR="002D4C6A" w:rsidRPr="002D4C6A" w:rsidRDefault="002D4C6A" w:rsidP="00F97471">
      <w:pPr>
        <w:pStyle w:val="SingleTxtG"/>
        <w:ind w:firstLine="567"/>
      </w:pPr>
      <w:r w:rsidRPr="002D4C6A">
        <w:t>(a)</w:t>
      </w:r>
      <w:r w:rsidRPr="002D4C6A">
        <w:tab/>
        <w:t xml:space="preserve">The Constitution of Nepal </w:t>
      </w:r>
      <w:proofErr w:type="gramStart"/>
      <w:r w:rsidRPr="002D4C6A">
        <w:t>of  2015</w:t>
      </w:r>
      <w:proofErr w:type="gramEnd"/>
      <w:r w:rsidRPr="002D4C6A">
        <w:t>;</w:t>
      </w:r>
    </w:p>
    <w:p w:rsidR="002D4C6A" w:rsidRPr="002D4C6A" w:rsidRDefault="002D4C6A" w:rsidP="00F97471">
      <w:pPr>
        <w:pStyle w:val="SingleTxtG"/>
        <w:ind w:firstLine="567"/>
        <w:rPr>
          <w:lang w:val="en-US"/>
        </w:rPr>
      </w:pPr>
      <w:r w:rsidRPr="002D4C6A">
        <w:rPr>
          <w:lang w:val="en-US"/>
        </w:rPr>
        <w:lastRenderedPageBreak/>
        <w:t>(b)</w:t>
      </w:r>
      <w:r w:rsidRPr="002D4C6A">
        <w:rPr>
          <w:lang w:val="en-US"/>
        </w:rPr>
        <w:tab/>
        <w:t>The Act Amending Some Nepali Acts to Maintain Gender Equality and End Gender-Based Violence of 2015; and</w:t>
      </w:r>
    </w:p>
    <w:p w:rsidR="002D4C6A" w:rsidRPr="002D4C6A" w:rsidRDefault="002D4C6A" w:rsidP="00F97471">
      <w:pPr>
        <w:pStyle w:val="SingleTxtG"/>
        <w:ind w:firstLine="567"/>
        <w:rPr>
          <w:lang w:val="en-US"/>
        </w:rPr>
      </w:pPr>
      <w:r w:rsidRPr="002D4C6A">
        <w:rPr>
          <w:lang w:val="en-US"/>
        </w:rPr>
        <w:t>(c)</w:t>
      </w:r>
      <w:r w:rsidRPr="002D4C6A">
        <w:rPr>
          <w:lang w:val="en-US"/>
        </w:rPr>
        <w:tab/>
      </w:r>
      <w:r w:rsidRPr="002D4C6A">
        <w:rPr>
          <w:lang w:val="en"/>
        </w:rPr>
        <w:t xml:space="preserve">The National Human Rights Commission Act of </w:t>
      </w:r>
      <w:r w:rsidR="00F97471">
        <w:rPr>
          <w:lang w:val="en-US"/>
        </w:rPr>
        <w:t>2012.</w:t>
      </w:r>
    </w:p>
    <w:p w:rsidR="002D4C6A" w:rsidRPr="002D4C6A" w:rsidRDefault="002D4C6A" w:rsidP="00F97471">
      <w:pPr>
        <w:pStyle w:val="SingleTxtG"/>
        <w:numPr>
          <w:ilvl w:val="0"/>
          <w:numId w:val="36"/>
        </w:numPr>
        <w:ind w:left="1134" w:firstLine="0"/>
      </w:pPr>
      <w:r w:rsidRPr="002D4C6A">
        <w:t>The Committee welcomes, among others, the following policy measures:</w:t>
      </w:r>
    </w:p>
    <w:p w:rsidR="002D4C6A" w:rsidRPr="002D4C6A" w:rsidRDefault="002D4C6A" w:rsidP="00F97471">
      <w:pPr>
        <w:pStyle w:val="SingleTxtG"/>
        <w:numPr>
          <w:ilvl w:val="1"/>
          <w:numId w:val="41"/>
        </w:numPr>
        <w:ind w:left="1134" w:firstLine="567"/>
        <w:rPr>
          <w:lang w:val="en-US"/>
        </w:rPr>
      </w:pPr>
      <w:r w:rsidRPr="002D4C6A">
        <w:rPr>
          <w:lang w:val="en-US"/>
        </w:rPr>
        <w:t>The National Strategy against Child Marriage, 2016;</w:t>
      </w:r>
    </w:p>
    <w:p w:rsidR="002D4C6A" w:rsidRPr="002D4C6A" w:rsidRDefault="002D4C6A" w:rsidP="00F97471">
      <w:pPr>
        <w:pStyle w:val="SingleTxtG"/>
        <w:numPr>
          <w:ilvl w:val="1"/>
          <w:numId w:val="41"/>
        </w:numPr>
        <w:ind w:left="1134" w:firstLine="567"/>
        <w:rPr>
          <w:lang w:val="en-US"/>
        </w:rPr>
      </w:pPr>
      <w:r w:rsidRPr="002D4C6A">
        <w:rPr>
          <w:lang w:val="en-US"/>
        </w:rPr>
        <w:t>The Multi-</w:t>
      </w:r>
      <w:proofErr w:type="spellStart"/>
      <w:r w:rsidRPr="002D4C6A">
        <w:rPr>
          <w:lang w:val="en-US"/>
        </w:rPr>
        <w:t>Sectoral</w:t>
      </w:r>
      <w:proofErr w:type="spellEnd"/>
      <w:r w:rsidRPr="002D4C6A">
        <w:rPr>
          <w:lang w:val="en-US"/>
        </w:rPr>
        <w:t xml:space="preserve"> Nutrition Plan 2013-2017, 2012; </w:t>
      </w:r>
    </w:p>
    <w:p w:rsidR="002D4C6A" w:rsidRPr="002D4C6A" w:rsidRDefault="002D4C6A" w:rsidP="00F97471">
      <w:pPr>
        <w:pStyle w:val="SingleTxtG"/>
        <w:numPr>
          <w:ilvl w:val="1"/>
          <w:numId w:val="41"/>
        </w:numPr>
        <w:ind w:left="1134" w:firstLine="567"/>
        <w:rPr>
          <w:lang w:val="en-US"/>
        </w:rPr>
      </w:pPr>
      <w:r w:rsidRPr="002D4C6A">
        <w:rPr>
          <w:lang w:val="en"/>
        </w:rPr>
        <w:t>The National Child Policy, 2012; and</w:t>
      </w:r>
    </w:p>
    <w:p w:rsidR="002D4C6A" w:rsidRPr="002D4C6A" w:rsidRDefault="002D4C6A" w:rsidP="00F97471">
      <w:pPr>
        <w:pStyle w:val="SingleTxtG"/>
        <w:numPr>
          <w:ilvl w:val="1"/>
          <w:numId w:val="41"/>
        </w:numPr>
        <w:ind w:left="1134" w:firstLine="567"/>
        <w:rPr>
          <w:lang w:val="en-US"/>
        </w:rPr>
      </w:pPr>
      <w:r w:rsidRPr="002D4C6A">
        <w:rPr>
          <w:lang w:val="en-US"/>
        </w:rPr>
        <w:t xml:space="preserve">The National Plan of Action against Child Bonded </w:t>
      </w:r>
      <w:proofErr w:type="spellStart"/>
      <w:r w:rsidRPr="002D4C6A">
        <w:rPr>
          <w:lang w:val="en-US"/>
        </w:rPr>
        <w:t>Labour</w:t>
      </w:r>
      <w:proofErr w:type="spellEnd"/>
      <w:r w:rsidRPr="002D4C6A">
        <w:rPr>
          <w:lang w:val="en-US"/>
        </w:rPr>
        <w:t>, 2009.</w:t>
      </w:r>
    </w:p>
    <w:p w:rsidR="002D4C6A" w:rsidRPr="002D4C6A" w:rsidRDefault="002D4C6A" w:rsidP="00F97471">
      <w:pPr>
        <w:pStyle w:val="HChG"/>
      </w:pPr>
      <w:r w:rsidRPr="002D4C6A">
        <w:tab/>
        <w:t>III.</w:t>
      </w:r>
      <w:r w:rsidRPr="002D4C6A">
        <w:tab/>
        <w:t>Factors and difficulties impeding the implementation of the Convention</w:t>
      </w:r>
    </w:p>
    <w:p w:rsidR="002D4C6A" w:rsidRPr="002D4C6A" w:rsidRDefault="002D4C6A" w:rsidP="00F97471">
      <w:pPr>
        <w:pStyle w:val="SingleTxtG"/>
        <w:numPr>
          <w:ilvl w:val="0"/>
          <w:numId w:val="36"/>
        </w:numPr>
        <w:ind w:left="1134" w:firstLine="0"/>
      </w:pPr>
      <w:r w:rsidRPr="002D4C6A">
        <w:t xml:space="preserve">The Committee notes the continuing effects of the 2015 earthquake, which hinders the implementation of the rights enshrined in the Convention and recommends that the State party continues its efforts thereto. </w:t>
      </w:r>
    </w:p>
    <w:p w:rsidR="002D4C6A" w:rsidRPr="002D4C6A" w:rsidRDefault="002D4C6A" w:rsidP="00F97471">
      <w:pPr>
        <w:pStyle w:val="HChG"/>
      </w:pPr>
      <w:r w:rsidRPr="002D4C6A">
        <w:tab/>
        <w:t>IV.</w:t>
      </w:r>
      <w:r w:rsidRPr="002D4C6A">
        <w:tab/>
        <w:t>Main areas of concern and recommendations</w:t>
      </w:r>
    </w:p>
    <w:p w:rsidR="002D4C6A" w:rsidRPr="002D4C6A" w:rsidRDefault="002D4C6A" w:rsidP="00F97471">
      <w:pPr>
        <w:pStyle w:val="H1G"/>
      </w:pPr>
      <w:r w:rsidRPr="002D4C6A">
        <w:tab/>
        <w:t>A.</w:t>
      </w:r>
      <w:r w:rsidRPr="002D4C6A">
        <w:tab/>
        <w:t>General measures of implementation (arts. 4, 42 and 44 (6))</w:t>
      </w:r>
    </w:p>
    <w:p w:rsidR="002D4C6A" w:rsidRPr="002D4C6A" w:rsidRDefault="002D4C6A" w:rsidP="00F97471">
      <w:pPr>
        <w:pStyle w:val="H23G"/>
      </w:pPr>
      <w:r w:rsidRPr="002D4C6A">
        <w:tab/>
      </w:r>
      <w:r w:rsidRPr="002D4C6A">
        <w:tab/>
        <w:t xml:space="preserve">Legislation </w:t>
      </w:r>
    </w:p>
    <w:p w:rsidR="002D4C6A" w:rsidRPr="002D4C6A" w:rsidRDefault="002D4C6A" w:rsidP="00F97471">
      <w:pPr>
        <w:pStyle w:val="SingleTxtG"/>
        <w:numPr>
          <w:ilvl w:val="0"/>
          <w:numId w:val="36"/>
        </w:numPr>
        <w:ind w:left="1134" w:firstLine="0"/>
      </w:pPr>
      <w:r w:rsidRPr="002D4C6A">
        <w:t xml:space="preserve">The Committee welcomes the adoption of the 2015 Constitution that recognizes children’s rights. However, the Committee is concerned that the draft Children’s Bill does not </w:t>
      </w:r>
      <w:r w:rsidR="00903AC2">
        <w:t>provide</w:t>
      </w:r>
      <w:r w:rsidRPr="002D4C6A">
        <w:t xml:space="preserve"> a comprehensive, integrated and rights-based approach to the State party’s legislation and does not adequately define key terms or mandates. </w:t>
      </w:r>
    </w:p>
    <w:p w:rsidR="002D4C6A" w:rsidRPr="00F97471" w:rsidRDefault="002D4C6A" w:rsidP="00F97471">
      <w:pPr>
        <w:pStyle w:val="SingleTxtG"/>
        <w:numPr>
          <w:ilvl w:val="0"/>
          <w:numId w:val="36"/>
        </w:numPr>
        <w:ind w:left="1134" w:firstLine="0"/>
        <w:rPr>
          <w:b/>
        </w:rPr>
      </w:pPr>
      <w:r w:rsidRPr="00F97471">
        <w:rPr>
          <w:b/>
        </w:rPr>
        <w:t xml:space="preserve">The Committee recommends that the State party review its Children’s Bill with a view to adopting a comprehensive, integrated and rights-based legislative framework for the implementation of the Convention in the light of these Concluding Observations. In doing so, the State party should ensure that all child-related provisions in its legislation are in accordance with the Convention. The State party should also ensure that the said legislative framework adequately defines key terms and mandates to ensure its effective implementation. </w:t>
      </w:r>
    </w:p>
    <w:p w:rsidR="002D4C6A" w:rsidRPr="002D4C6A" w:rsidRDefault="00F97471" w:rsidP="00F97471">
      <w:pPr>
        <w:pStyle w:val="H23G"/>
      </w:pPr>
      <w:r>
        <w:tab/>
      </w:r>
      <w:r w:rsidR="002D4C6A" w:rsidRPr="002D4C6A">
        <w:tab/>
        <w:t xml:space="preserve">Comprehensive policy and strategy </w:t>
      </w:r>
    </w:p>
    <w:p w:rsidR="002D4C6A" w:rsidRPr="002D4C6A" w:rsidRDefault="002D4C6A" w:rsidP="00F97471">
      <w:pPr>
        <w:pStyle w:val="SingleTxtG"/>
        <w:numPr>
          <w:ilvl w:val="0"/>
          <w:numId w:val="36"/>
        </w:numPr>
        <w:ind w:left="1134" w:firstLine="0"/>
      </w:pPr>
      <w:r w:rsidRPr="002D4C6A">
        <w:t>The Committee notes as positive that the State party adopted a National Plan of Action for Children for 2004/5 to 2014/15. However, the Committee notes that there has yet to be an evaluation of that National Plan. Furthermore, the Committee is concerned that there is a significant amount of overlap amongst the various ongoing sectorial national plans of the State party without adequate details, indicators, targets and timelines for their effective implementation.</w:t>
      </w:r>
    </w:p>
    <w:p w:rsidR="002D4C6A" w:rsidRPr="00F97471" w:rsidRDefault="002D4C6A" w:rsidP="00F97471">
      <w:pPr>
        <w:pStyle w:val="SingleTxtG"/>
        <w:numPr>
          <w:ilvl w:val="0"/>
          <w:numId w:val="36"/>
        </w:numPr>
        <w:ind w:left="1134" w:firstLine="0"/>
        <w:rPr>
          <w:b/>
        </w:rPr>
      </w:pPr>
      <w:r w:rsidRPr="00F97471">
        <w:rPr>
          <w:b/>
        </w:rPr>
        <w:t>The Committee recommends that the State party conduct an evaluation of its previous National Plan of Action with a view to preparing a comprehensive policy on children that encompasses all areas covered by the Convention. Furthermore, the State party should develop a strategy that coordinates the sectorial plans in a coherent manner and ensure</w:t>
      </w:r>
      <w:r w:rsidR="00903AC2">
        <w:rPr>
          <w:b/>
        </w:rPr>
        <w:t xml:space="preserve"> that</w:t>
      </w:r>
      <w:r w:rsidRPr="00F97471">
        <w:rPr>
          <w:b/>
        </w:rPr>
        <w:t xml:space="preserve"> these are provided with sufficient human, technical and financial resources.</w:t>
      </w:r>
    </w:p>
    <w:p w:rsidR="002D4C6A" w:rsidRPr="002D4C6A" w:rsidRDefault="00F97471" w:rsidP="00F97471">
      <w:pPr>
        <w:pStyle w:val="H23G"/>
      </w:pPr>
      <w:r>
        <w:lastRenderedPageBreak/>
        <w:tab/>
      </w:r>
      <w:r>
        <w:tab/>
      </w:r>
      <w:r w:rsidR="002D4C6A" w:rsidRPr="002D4C6A">
        <w:t>Coordination</w:t>
      </w:r>
    </w:p>
    <w:p w:rsidR="002D4C6A" w:rsidRPr="00F97471" w:rsidRDefault="002D4C6A" w:rsidP="00F97471">
      <w:pPr>
        <w:pStyle w:val="SingleTxtG"/>
        <w:numPr>
          <w:ilvl w:val="0"/>
          <w:numId w:val="36"/>
        </w:numPr>
        <w:ind w:left="1134" w:firstLine="0"/>
        <w:rPr>
          <w:b/>
        </w:rPr>
      </w:pPr>
      <w:r w:rsidRPr="00F97471">
        <w:rPr>
          <w:b/>
        </w:rPr>
        <w:t>The Committee urges the State party to take action on its previous recommendation (CRC/C/15/Add.261, para. 23)</w:t>
      </w:r>
      <w:proofErr w:type="gramStart"/>
      <w:r w:rsidRPr="00F97471">
        <w:rPr>
          <w:b/>
        </w:rPr>
        <w:t>,  to</w:t>
      </w:r>
      <w:proofErr w:type="gramEnd"/>
      <w:r w:rsidRPr="00F97471">
        <w:rPr>
          <w:b/>
        </w:rPr>
        <w:t xml:space="preserve"> appoint or establish a single inter</w:t>
      </w:r>
      <w:r w:rsidRPr="00F97471">
        <w:rPr>
          <w:b/>
        </w:rPr>
        <w:noBreakHyphen/>
        <w:t xml:space="preserve">ministerial and </w:t>
      </w:r>
      <w:proofErr w:type="spellStart"/>
      <w:r w:rsidRPr="00F97471">
        <w:rPr>
          <w:b/>
        </w:rPr>
        <w:t>intersectoral</w:t>
      </w:r>
      <w:proofErr w:type="spellEnd"/>
      <w:r w:rsidRPr="00F97471">
        <w:rPr>
          <w:b/>
        </w:rPr>
        <w:t xml:space="preserve"> mechanism for the coordination, monitoring and evaluation of all activities regarding the implementation of the Convention.  Such a body should be closely coordinated with the National Planning Commission and be provided with a strong mandate and sufficient human, technical and financial resources to carry out its functions effectively, and include members of the civil </w:t>
      </w:r>
      <w:proofErr w:type="gramStart"/>
      <w:r w:rsidRPr="00F97471">
        <w:rPr>
          <w:b/>
        </w:rPr>
        <w:t>society,</w:t>
      </w:r>
      <w:proofErr w:type="gramEnd"/>
      <w:r w:rsidRPr="00F97471">
        <w:rPr>
          <w:b/>
        </w:rPr>
        <w:t xml:space="preserve"> child rights experts and other professionals as well as governmental representatives.</w:t>
      </w:r>
    </w:p>
    <w:p w:rsidR="002D4C6A" w:rsidRPr="002D4C6A" w:rsidRDefault="002D4C6A" w:rsidP="00727598">
      <w:pPr>
        <w:pStyle w:val="H23G"/>
      </w:pPr>
      <w:r w:rsidRPr="002D4C6A">
        <w:tab/>
      </w:r>
      <w:r w:rsidRPr="002D4C6A">
        <w:tab/>
        <w:t>Allocation of resources</w:t>
      </w:r>
    </w:p>
    <w:p w:rsidR="002D4C6A" w:rsidRPr="002D4C6A" w:rsidRDefault="002D4C6A" w:rsidP="00F97471">
      <w:pPr>
        <w:pStyle w:val="SingleTxtG"/>
        <w:numPr>
          <w:ilvl w:val="0"/>
          <w:numId w:val="36"/>
        </w:numPr>
        <w:ind w:left="1134" w:firstLine="0"/>
      </w:pPr>
      <w:r w:rsidRPr="002D4C6A">
        <w:t>The Committee welcomes the increase of the resources allocated for the fulfilment of children’s rights during the last years, as well as the adoption of the Child Friendly Local Governance National Framework in 2009, and its accompanying implementation guidelines in 2010. Nevertheless, the Committee remains concerned that:</w:t>
      </w:r>
    </w:p>
    <w:p w:rsidR="002D4C6A" w:rsidRPr="002D4C6A" w:rsidRDefault="002D4C6A" w:rsidP="00F97471">
      <w:pPr>
        <w:pStyle w:val="SingleTxtG"/>
        <w:numPr>
          <w:ilvl w:val="0"/>
          <w:numId w:val="38"/>
        </w:numPr>
        <w:ind w:left="1134" w:firstLine="567"/>
      </w:pPr>
      <w:r w:rsidRPr="002D4C6A">
        <w:t>The resources dedicated to children continue to be  insufficient;</w:t>
      </w:r>
    </w:p>
    <w:p w:rsidR="002D4C6A" w:rsidRPr="002D4C6A" w:rsidRDefault="002D4C6A" w:rsidP="00F97471">
      <w:pPr>
        <w:pStyle w:val="SingleTxtG"/>
        <w:numPr>
          <w:ilvl w:val="0"/>
          <w:numId w:val="38"/>
        </w:numPr>
        <w:ind w:left="1134" w:firstLine="567"/>
      </w:pPr>
      <w:r w:rsidRPr="002D4C6A">
        <w:t>The mobilisation of resources by the State in order to address the needs of children is limited and significantly hampered by corruption; and,</w:t>
      </w:r>
    </w:p>
    <w:p w:rsidR="002D4C6A" w:rsidRPr="002D4C6A" w:rsidRDefault="002D4C6A" w:rsidP="00F97471">
      <w:pPr>
        <w:pStyle w:val="SingleTxtG"/>
        <w:numPr>
          <w:ilvl w:val="0"/>
          <w:numId w:val="38"/>
        </w:numPr>
        <w:ind w:left="1134" w:firstLine="567"/>
      </w:pPr>
      <w:r w:rsidRPr="002D4C6A">
        <w:t>The efficacy, efficiency and transparency in the use of the resources that have been made available through international cooperation in response to the earthquake in 2015</w:t>
      </w:r>
      <w:r w:rsidR="00903AC2">
        <w:t xml:space="preserve"> are insufficient</w:t>
      </w:r>
      <w:r w:rsidRPr="002D4C6A">
        <w:t>.</w:t>
      </w:r>
    </w:p>
    <w:p w:rsidR="002D4C6A" w:rsidRPr="002D4C6A" w:rsidRDefault="002D4C6A" w:rsidP="00F97471">
      <w:pPr>
        <w:pStyle w:val="SingleTxtG"/>
        <w:numPr>
          <w:ilvl w:val="0"/>
          <w:numId w:val="36"/>
        </w:numPr>
        <w:ind w:left="1134" w:firstLine="0"/>
        <w:rPr>
          <w:b/>
        </w:rPr>
      </w:pPr>
      <w:r w:rsidRPr="002D4C6A">
        <w:rPr>
          <w:b/>
        </w:rPr>
        <w:t>The Committee:</w:t>
      </w:r>
    </w:p>
    <w:p w:rsidR="002D4C6A" w:rsidRPr="002D4C6A" w:rsidRDefault="002D4C6A" w:rsidP="00F97471">
      <w:pPr>
        <w:pStyle w:val="SingleTxtG"/>
        <w:numPr>
          <w:ilvl w:val="0"/>
          <w:numId w:val="42"/>
        </w:numPr>
        <w:ind w:left="1134" w:firstLine="567"/>
        <w:rPr>
          <w:b/>
        </w:rPr>
      </w:pPr>
      <w:r w:rsidRPr="002D4C6A">
        <w:rPr>
          <w:b/>
        </w:rPr>
        <w:t xml:space="preserve">Reiterates its previous recommendation (CRC/C/15/Add.261, para. 28) for the State party to strengthen its implementation of article 4 of the Convention and in the light of articles 2, 3 and 6, recommends that the State party prioritize budgetary allocations to ensure the implementation of the rights of children to the maximum extent of available resources and using the rights-based approach; </w:t>
      </w:r>
    </w:p>
    <w:p w:rsidR="002D4C6A" w:rsidRPr="002D4C6A" w:rsidRDefault="002D4C6A" w:rsidP="00F97471">
      <w:pPr>
        <w:pStyle w:val="SingleTxtG"/>
        <w:numPr>
          <w:ilvl w:val="0"/>
          <w:numId w:val="42"/>
        </w:numPr>
        <w:ind w:left="1134" w:firstLine="567"/>
        <w:rPr>
          <w:b/>
          <w:bCs/>
        </w:rPr>
      </w:pPr>
      <w:r w:rsidRPr="002D4C6A">
        <w:rPr>
          <w:b/>
        </w:rPr>
        <w:t xml:space="preserve">Recommends that the State party </w:t>
      </w:r>
      <w:r w:rsidRPr="002D4C6A">
        <w:rPr>
          <w:b/>
          <w:bCs/>
        </w:rPr>
        <w:t>increase its efforts to mobilise resources, including  strengthening its efforts to combat corruption through ensuring effective prosecution a</w:t>
      </w:r>
      <w:r w:rsidR="004C2B84">
        <w:rPr>
          <w:b/>
          <w:bCs/>
        </w:rPr>
        <w:t>nd commensurate sanctions</w:t>
      </w:r>
      <w:r w:rsidRPr="002D4C6A">
        <w:rPr>
          <w:b/>
          <w:bCs/>
        </w:rPr>
        <w:t>; and,</w:t>
      </w:r>
    </w:p>
    <w:p w:rsidR="002D4C6A" w:rsidRPr="002D4C6A" w:rsidRDefault="002D4C6A" w:rsidP="00F97471">
      <w:pPr>
        <w:pStyle w:val="SingleTxtG"/>
        <w:numPr>
          <w:ilvl w:val="0"/>
          <w:numId w:val="42"/>
        </w:numPr>
        <w:ind w:left="1134" w:firstLine="567"/>
        <w:rPr>
          <w:b/>
        </w:rPr>
      </w:pPr>
      <w:r w:rsidRPr="002D4C6A">
        <w:rPr>
          <w:b/>
        </w:rPr>
        <w:t>Urges the State party to ensure that resources are efficiently, effectively and transparently allocated within the framework of international cooperation, prioritizing the reconstruction of</w:t>
      </w:r>
      <w:r w:rsidR="004C2B84">
        <w:rPr>
          <w:b/>
        </w:rPr>
        <w:t xml:space="preserve"> the infrastructures destined for</w:t>
      </w:r>
      <w:r w:rsidRPr="002D4C6A">
        <w:rPr>
          <w:b/>
        </w:rPr>
        <w:t xml:space="preserve"> </w:t>
      </w:r>
      <w:r w:rsidR="00903AC2">
        <w:rPr>
          <w:b/>
        </w:rPr>
        <w:t>child</w:t>
      </w:r>
      <w:r w:rsidRPr="002D4C6A">
        <w:rPr>
          <w:b/>
        </w:rPr>
        <w:t xml:space="preserve"> services. </w:t>
      </w:r>
    </w:p>
    <w:p w:rsidR="002D4C6A" w:rsidRPr="002D4C6A" w:rsidRDefault="002D4C6A" w:rsidP="00727598">
      <w:pPr>
        <w:pStyle w:val="H23G"/>
      </w:pPr>
      <w:r w:rsidRPr="002D4C6A">
        <w:tab/>
      </w:r>
      <w:r w:rsidRPr="002D4C6A">
        <w:tab/>
        <w:t>Data collection</w:t>
      </w:r>
    </w:p>
    <w:p w:rsidR="002D4C6A" w:rsidRPr="002D4C6A" w:rsidRDefault="002D4C6A" w:rsidP="00F97471">
      <w:pPr>
        <w:pStyle w:val="SingleTxtG"/>
        <w:numPr>
          <w:ilvl w:val="0"/>
          <w:numId w:val="36"/>
        </w:numPr>
        <w:ind w:left="1134" w:firstLine="0"/>
        <w:rPr>
          <w:b/>
        </w:rPr>
      </w:pPr>
      <w:r w:rsidRPr="002D4C6A">
        <w:rPr>
          <w:b/>
        </w:rPr>
        <w:t>The Committee reiterates its previous recommendation (CRC/C/15/Add.261, para. 30) for the State party to develop a system of data collection and indicators consistent with the Convention and disaggregated by sex, age, parish and dependency. The Committee recommends that the State party seek technical assistance from, inter alia, UNICEF, in this regard.</w:t>
      </w:r>
    </w:p>
    <w:p w:rsidR="002D4C6A" w:rsidRPr="002D4C6A" w:rsidRDefault="002D4C6A" w:rsidP="00727598">
      <w:pPr>
        <w:pStyle w:val="H23G"/>
      </w:pPr>
      <w:r w:rsidRPr="002D4C6A">
        <w:tab/>
      </w:r>
      <w:r w:rsidRPr="002D4C6A">
        <w:tab/>
        <w:t>Independent monitoring</w:t>
      </w:r>
    </w:p>
    <w:p w:rsidR="002D4C6A" w:rsidRPr="00F97471" w:rsidRDefault="002D4C6A" w:rsidP="00F97471">
      <w:pPr>
        <w:pStyle w:val="SingleTxtG"/>
        <w:numPr>
          <w:ilvl w:val="0"/>
          <w:numId w:val="36"/>
        </w:numPr>
        <w:ind w:left="1134" w:firstLine="0"/>
      </w:pPr>
      <w:r w:rsidRPr="00F97471">
        <w:t>The Committee is concerned that the independence of the State party’s Nat</w:t>
      </w:r>
      <w:r w:rsidR="004C2B84">
        <w:t>ional Human Rights Institution</w:t>
      </w:r>
      <w:r w:rsidRPr="00F97471">
        <w:t xml:space="preserve"> (NHRI), the National Human Rights Commission of Nepal, has been undermined by the National Human Rights Commission Act, 2012</w:t>
      </w:r>
      <w:r w:rsidR="00903AC2">
        <w:t>, which</w:t>
      </w:r>
      <w:r w:rsidRPr="00F97471">
        <w:t xml:space="preserve"> subjects staff appointments and expenses of the NHRI to government approval and requires that all claims of human rights violations must be filed within six months of their violation. The Committee is also concerned that there is no dedicated State entity with a mandate to receive complaints on child rights violation and that only one staff member within the National Human Rights Commission has so far been allocated specifically to monitor children’s rights in the State party. </w:t>
      </w:r>
    </w:p>
    <w:p w:rsidR="002D4C6A" w:rsidRPr="00F97471" w:rsidRDefault="002D4C6A" w:rsidP="00F97471">
      <w:pPr>
        <w:pStyle w:val="SingleTxtG"/>
        <w:numPr>
          <w:ilvl w:val="0"/>
          <w:numId w:val="36"/>
        </w:numPr>
        <w:ind w:left="1134" w:firstLine="0"/>
        <w:rPr>
          <w:b/>
        </w:rPr>
      </w:pPr>
      <w:r w:rsidRPr="002D4C6A">
        <w:rPr>
          <w:b/>
        </w:rPr>
        <w:t>In the light of its general comment No. 2 (2002) on the role of independent human rights institutions, the Committee recommends that the State party ensure the independence of the National Human Rights Commission of Nepal by amending the National Human Rights Commission Act, to ensure full compliance with the Paris Principles, including with regards to its staff appointments, funding, mandate and immunities. It should also consider establishing a specific mechanism or section within the National Human Rights Commission of Nepal for monitoring children</w:t>
      </w:r>
      <w:r w:rsidR="004C2B84">
        <w:rPr>
          <w:b/>
        </w:rPr>
        <w:t xml:space="preserve"> and</w:t>
      </w:r>
      <w:r w:rsidRPr="002D4C6A">
        <w:rPr>
          <w:b/>
        </w:rPr>
        <w:t xml:space="preserve"> that is able to receive, investigate and address complaints by children in a child-sensitive manner, ensure the privacy and protection of victims, and undertake monitoring, follow-up and verification activities for victims </w:t>
      </w:r>
      <w:r w:rsidRPr="00F97471">
        <w:rPr>
          <w:b/>
        </w:rPr>
        <w:t xml:space="preserve">and that </w:t>
      </w:r>
      <w:r w:rsidR="004C2B84">
        <w:rPr>
          <w:b/>
        </w:rPr>
        <w:t xml:space="preserve">it </w:t>
      </w:r>
      <w:r w:rsidRPr="00F97471">
        <w:rPr>
          <w:b/>
        </w:rPr>
        <w:t>is allocated adequate human, technical and financial resources.</w:t>
      </w:r>
      <w:r w:rsidRPr="002D4C6A">
        <w:rPr>
          <w:b/>
        </w:rPr>
        <w:t xml:space="preserve"> To that effect, the Committee recommends that the State party seek technical cooperation from, among others, the Office of the United Nations High Commissioner for Human Rights (OHCHR), UNICEF and the United Nations Development Programme (UNDP).</w:t>
      </w:r>
    </w:p>
    <w:p w:rsidR="002D4C6A" w:rsidRPr="002D4C6A" w:rsidRDefault="002D4C6A" w:rsidP="00727598">
      <w:pPr>
        <w:pStyle w:val="H23G"/>
      </w:pPr>
      <w:r w:rsidRPr="002D4C6A">
        <w:tab/>
      </w:r>
      <w:r w:rsidRPr="002D4C6A">
        <w:tab/>
        <w:t>Dissemination, awareness-raising and training</w:t>
      </w:r>
    </w:p>
    <w:p w:rsidR="002D4C6A" w:rsidRPr="00F97471" w:rsidRDefault="002D4C6A" w:rsidP="00F97471">
      <w:pPr>
        <w:pStyle w:val="SingleTxtG"/>
        <w:numPr>
          <w:ilvl w:val="0"/>
          <w:numId w:val="36"/>
        </w:numPr>
        <w:ind w:left="1134" w:firstLine="0"/>
        <w:rPr>
          <w:b/>
        </w:rPr>
      </w:pPr>
      <w:r w:rsidRPr="002D4C6A">
        <w:rPr>
          <w:b/>
        </w:rPr>
        <w:t>The Committee reiterates its previous recommendation (CRC/C/15/Add.261, para. 32) for the State party to strengthen its efforts to ensure that the provisions and the principles of the Convention are widely recognized and understood by adults and children alike.  It also recommends to the State party that it undertake systematic education and training on the rights of the Convention for children and their parents, as well as all professional groups working for and with children, in particular parliamentarians, judges, magistrates, lawyers, law enforcement officials, civil servants, personnel working in institutions and places of detention for children, teachers, health personnel and so</w:t>
      </w:r>
      <w:r w:rsidR="004C2B84">
        <w:rPr>
          <w:b/>
        </w:rPr>
        <w:t>cial workers. The Committee</w:t>
      </w:r>
      <w:r w:rsidRPr="002D4C6A">
        <w:rPr>
          <w:b/>
        </w:rPr>
        <w:t xml:space="preserve"> recommends that the State party consider seeking technical assistance from U</w:t>
      </w:r>
      <w:r w:rsidR="00F97471">
        <w:rPr>
          <w:b/>
        </w:rPr>
        <w:t>NICEF and OHCHR in this regard.</w:t>
      </w:r>
    </w:p>
    <w:p w:rsidR="002D4C6A" w:rsidRPr="002D4C6A" w:rsidRDefault="002D4C6A" w:rsidP="00727598">
      <w:pPr>
        <w:pStyle w:val="H1G"/>
      </w:pPr>
      <w:r w:rsidRPr="002D4C6A">
        <w:tab/>
        <w:t>B.</w:t>
      </w:r>
      <w:r w:rsidRPr="002D4C6A">
        <w:tab/>
        <w:t>Definition of the child (art. 1 of the Convention)</w:t>
      </w:r>
    </w:p>
    <w:p w:rsidR="002D4C6A" w:rsidRPr="00F97471" w:rsidRDefault="002D4C6A" w:rsidP="00F97471">
      <w:pPr>
        <w:pStyle w:val="SingleTxtG"/>
        <w:numPr>
          <w:ilvl w:val="0"/>
          <w:numId w:val="36"/>
        </w:numPr>
        <w:ind w:left="1134" w:firstLine="0"/>
      </w:pPr>
      <w:r w:rsidRPr="00F97471">
        <w:t xml:space="preserve">While the Committee notes that the draft Children’s Bill provides a definition of the child in line with the Convention, it is concerned that the age of majority is currently set at 16 years and that </w:t>
      </w:r>
      <w:r w:rsidR="00903AC2">
        <w:t xml:space="preserve">not </w:t>
      </w:r>
      <w:r w:rsidRPr="00F97471">
        <w:t xml:space="preserve">all children under the age of </w:t>
      </w:r>
      <w:proofErr w:type="gramStart"/>
      <w:r w:rsidRPr="00F97471">
        <w:t>18  benefit</w:t>
      </w:r>
      <w:proofErr w:type="gramEnd"/>
      <w:r w:rsidRPr="00F97471">
        <w:t xml:space="preserve"> from the full protection under the Convention. </w:t>
      </w:r>
    </w:p>
    <w:p w:rsidR="002D4C6A" w:rsidRPr="00F97471" w:rsidRDefault="002D4C6A" w:rsidP="00F97471">
      <w:pPr>
        <w:pStyle w:val="SingleTxtG"/>
        <w:numPr>
          <w:ilvl w:val="0"/>
          <w:numId w:val="36"/>
        </w:numPr>
        <w:ind w:left="1134" w:firstLine="0"/>
        <w:rPr>
          <w:b/>
        </w:rPr>
      </w:pPr>
      <w:r w:rsidRPr="00F97471">
        <w:rPr>
          <w:b/>
        </w:rPr>
        <w:t xml:space="preserve">The Committee recommends that the State Party expeditiously amend its definition of the child to ensure </w:t>
      </w:r>
      <w:r w:rsidR="00903AC2">
        <w:rPr>
          <w:b/>
        </w:rPr>
        <w:t xml:space="preserve">that </w:t>
      </w:r>
      <w:r w:rsidRPr="00F97471">
        <w:rPr>
          <w:b/>
        </w:rPr>
        <w:t>all of its laws comply with the Convention and ensure that all children</w:t>
      </w:r>
      <w:r w:rsidR="00903AC2">
        <w:rPr>
          <w:b/>
        </w:rPr>
        <w:t xml:space="preserve"> under the age of 18</w:t>
      </w:r>
      <w:r w:rsidRPr="00F97471">
        <w:rPr>
          <w:b/>
        </w:rPr>
        <w:t xml:space="preserve"> benefit from the full protection under the Convention.</w:t>
      </w:r>
    </w:p>
    <w:p w:rsidR="002D4C6A" w:rsidRPr="002D4C6A" w:rsidRDefault="00727598" w:rsidP="00727598">
      <w:pPr>
        <w:pStyle w:val="H23G"/>
      </w:pPr>
      <w:r>
        <w:tab/>
      </w:r>
      <w:r>
        <w:tab/>
      </w:r>
      <w:r w:rsidR="002D4C6A" w:rsidRPr="002D4C6A">
        <w:t>General principles (arts. 2, 3, 6 and 12 of the Convention)</w:t>
      </w:r>
    </w:p>
    <w:p w:rsidR="002D4C6A" w:rsidRPr="002D4C6A" w:rsidRDefault="002D4C6A" w:rsidP="00727598">
      <w:pPr>
        <w:pStyle w:val="H4G"/>
      </w:pPr>
      <w:r w:rsidRPr="002D4C6A">
        <w:tab/>
      </w:r>
      <w:r w:rsidRPr="002D4C6A">
        <w:tab/>
        <w:t>Non-discrimination</w:t>
      </w:r>
    </w:p>
    <w:p w:rsidR="002D4C6A" w:rsidRPr="002D4C6A" w:rsidRDefault="002D4C6A" w:rsidP="00F97471">
      <w:pPr>
        <w:pStyle w:val="SingleTxtG"/>
        <w:numPr>
          <w:ilvl w:val="0"/>
          <w:numId w:val="36"/>
        </w:numPr>
        <w:ind w:left="1134" w:firstLine="0"/>
      </w:pPr>
      <w:r w:rsidRPr="002D4C6A">
        <w:t xml:space="preserve">The Committee welcomes the anti-discrimination provisions of the new Constitution. However, notwithstanding the de jure prohibition of discrimination, </w:t>
      </w:r>
      <w:r w:rsidR="00903AC2">
        <w:t xml:space="preserve">it </w:t>
      </w:r>
      <w:r w:rsidRPr="002D4C6A">
        <w:t>remains concerned that discrimination based on, inter alia, gender, lineage, ethnicity, religion, social standing, and  disability, remains prevalent. In particular, the Committee is concerned that:</w:t>
      </w:r>
    </w:p>
    <w:p w:rsidR="002D4C6A" w:rsidRPr="002D4C6A" w:rsidRDefault="00F97471" w:rsidP="00F97471">
      <w:pPr>
        <w:pStyle w:val="SingleTxtG"/>
        <w:ind w:firstLine="567"/>
      </w:pPr>
      <w:r>
        <w:t>(a)</w:t>
      </w:r>
      <w:r>
        <w:tab/>
      </w:r>
      <w:r w:rsidR="002D4C6A" w:rsidRPr="002D4C6A">
        <w:t>Gender discrimination is still highly prevalent in all aspects, such as in the sector of health, and education; and,</w:t>
      </w:r>
    </w:p>
    <w:p w:rsidR="002D4C6A" w:rsidRPr="002D4C6A" w:rsidRDefault="00F97471" w:rsidP="00F97471">
      <w:pPr>
        <w:pStyle w:val="SingleTxtG"/>
        <w:ind w:firstLine="567"/>
      </w:pPr>
      <w:r>
        <w:t>(b)</w:t>
      </w:r>
      <w:r>
        <w:tab/>
      </w:r>
      <w:r w:rsidR="002D4C6A" w:rsidRPr="002D4C6A">
        <w:t xml:space="preserve">There is persistent de facto discrimination against </w:t>
      </w:r>
      <w:proofErr w:type="spellStart"/>
      <w:r w:rsidR="002D4C6A" w:rsidRPr="002D4C6A">
        <w:rPr>
          <w:i/>
          <w:iCs/>
        </w:rPr>
        <w:t>Dalits</w:t>
      </w:r>
      <w:proofErr w:type="spellEnd"/>
      <w:r w:rsidR="002D4C6A" w:rsidRPr="002D4C6A">
        <w:rPr>
          <w:i/>
          <w:iCs/>
        </w:rPr>
        <w:t xml:space="preserve">, </w:t>
      </w:r>
      <w:r w:rsidR="002D4C6A" w:rsidRPr="002D4C6A">
        <w:t>on the basis of their caste</w:t>
      </w:r>
      <w:r w:rsidR="002D4C6A" w:rsidRPr="002D4C6A">
        <w:rPr>
          <w:i/>
          <w:iCs/>
        </w:rPr>
        <w:t xml:space="preserve">, </w:t>
      </w:r>
      <w:r w:rsidR="002D4C6A" w:rsidRPr="002D4C6A">
        <w:t xml:space="preserve">resulting in them living in marginalized communities with hindrances in access to education, and public places, including water sources and places of worship. </w:t>
      </w:r>
    </w:p>
    <w:p w:rsidR="002D4C6A" w:rsidRPr="002D4C6A" w:rsidRDefault="002D4C6A" w:rsidP="00F97471">
      <w:pPr>
        <w:pStyle w:val="SingleTxtG"/>
        <w:numPr>
          <w:ilvl w:val="0"/>
          <w:numId w:val="36"/>
        </w:numPr>
        <w:ind w:left="1134" w:firstLine="0"/>
        <w:rPr>
          <w:b/>
        </w:rPr>
      </w:pPr>
      <w:r w:rsidRPr="00F97471">
        <w:rPr>
          <w:b/>
        </w:rPr>
        <w:t>The Committee urges the State party to:</w:t>
      </w:r>
    </w:p>
    <w:p w:rsidR="00A92BBF" w:rsidRDefault="002D4C6A" w:rsidP="0099136B">
      <w:pPr>
        <w:pStyle w:val="SingleTxtG"/>
        <w:numPr>
          <w:ilvl w:val="0"/>
          <w:numId w:val="44"/>
        </w:numPr>
        <w:ind w:left="1134" w:firstLine="567"/>
        <w:rPr>
          <w:b/>
        </w:rPr>
      </w:pPr>
      <w:r w:rsidRPr="002D4C6A">
        <w:rPr>
          <w:b/>
          <w:lang w:val="en-US"/>
        </w:rPr>
        <w:t>Ensure the effective implementation of</w:t>
      </w:r>
      <w:r w:rsidRPr="002D4C6A">
        <w:rPr>
          <w:b/>
        </w:rPr>
        <w:t xml:space="preserve"> its legislation in order to ensure that girls enjoy the same rights and entitlements as boys in all aspects of life, especially in family relations, the criminal and civil justice system and property rights, and take measures to eliminate any forms of discrimination in practice; </w:t>
      </w:r>
    </w:p>
    <w:p w:rsidR="002D4C6A" w:rsidRPr="002D4C6A" w:rsidRDefault="00A92BBF" w:rsidP="0099136B">
      <w:pPr>
        <w:pStyle w:val="SingleTxtG"/>
        <w:numPr>
          <w:ilvl w:val="0"/>
          <w:numId w:val="44"/>
        </w:numPr>
        <w:ind w:left="1134" w:firstLine="567"/>
        <w:rPr>
          <w:b/>
        </w:rPr>
      </w:pPr>
      <w:r>
        <w:rPr>
          <w:b/>
        </w:rPr>
        <w:t>C</w:t>
      </w:r>
      <w:r w:rsidR="002D4C6A" w:rsidRPr="002D4C6A">
        <w:rPr>
          <w:b/>
        </w:rPr>
        <w:t>arry out awareness-raising activities with a view to eliminating patriarchal values, and gender stereotypes</w:t>
      </w:r>
      <w:r w:rsidR="002D4C6A" w:rsidRPr="002D4C6A">
        <w:rPr>
          <w:b/>
          <w:lang w:val="en-US"/>
        </w:rPr>
        <w:t>; and,</w:t>
      </w:r>
    </w:p>
    <w:p w:rsidR="002D4C6A" w:rsidRPr="002D4C6A" w:rsidRDefault="002D4C6A" w:rsidP="0099136B">
      <w:pPr>
        <w:pStyle w:val="SingleTxtG"/>
        <w:ind w:firstLine="567"/>
        <w:rPr>
          <w:b/>
          <w:lang w:val="en-US"/>
        </w:rPr>
      </w:pPr>
      <w:r w:rsidRPr="002D4C6A">
        <w:rPr>
          <w:b/>
        </w:rPr>
        <w:t>(b)</w:t>
      </w:r>
      <w:r w:rsidRPr="002D4C6A">
        <w:rPr>
          <w:b/>
        </w:rPr>
        <w:tab/>
      </w:r>
      <w:r w:rsidRPr="002D4C6A">
        <w:rPr>
          <w:b/>
          <w:lang w:val="en-US"/>
        </w:rPr>
        <w:t xml:space="preserve">Strengthen its efforts to combat discrimination against, stigmatization, and social exclusion of </w:t>
      </w:r>
      <w:r w:rsidRPr="002D4C6A">
        <w:rPr>
          <w:b/>
          <w:i/>
          <w:lang w:val="en-US"/>
        </w:rPr>
        <w:t>Dalit</w:t>
      </w:r>
      <w:r w:rsidRPr="002D4C6A">
        <w:rPr>
          <w:b/>
          <w:lang w:val="en-US"/>
        </w:rPr>
        <w:t xml:space="preserve"> children; and, in doing so, establish targeted </w:t>
      </w:r>
      <w:proofErr w:type="spellStart"/>
      <w:r w:rsidRPr="002D4C6A">
        <w:rPr>
          <w:b/>
          <w:lang w:val="en-US"/>
        </w:rPr>
        <w:t>programmes</w:t>
      </w:r>
      <w:proofErr w:type="spellEnd"/>
      <w:r w:rsidRPr="002D4C6A">
        <w:rPr>
          <w:b/>
          <w:lang w:val="en-US"/>
        </w:rPr>
        <w:t>, including awareness-raising, to facilitate their integration in other communities and ensure the enforcement of non-discriminatory access to education, and public places.</w:t>
      </w:r>
    </w:p>
    <w:p w:rsidR="002D4C6A" w:rsidRPr="002D4C6A" w:rsidRDefault="002D4C6A" w:rsidP="00727598">
      <w:pPr>
        <w:pStyle w:val="H23G"/>
      </w:pPr>
      <w:r w:rsidRPr="002D4C6A">
        <w:tab/>
      </w:r>
      <w:r w:rsidRPr="002D4C6A">
        <w:tab/>
        <w:t>Best interests of the child</w:t>
      </w:r>
    </w:p>
    <w:p w:rsidR="002D4C6A" w:rsidRPr="00F97471" w:rsidRDefault="002D4C6A" w:rsidP="00F97471">
      <w:pPr>
        <w:pStyle w:val="SingleTxtG"/>
        <w:numPr>
          <w:ilvl w:val="0"/>
          <w:numId w:val="36"/>
        </w:numPr>
        <w:ind w:left="1134" w:firstLine="0"/>
      </w:pPr>
      <w:r w:rsidRPr="00F97471">
        <w:t xml:space="preserve">The Committee is concerned that neither the Constitution nor </w:t>
      </w:r>
      <w:r w:rsidR="006155CF">
        <w:t xml:space="preserve">any </w:t>
      </w:r>
      <w:proofErr w:type="gramStart"/>
      <w:r w:rsidR="006155CF">
        <w:t xml:space="preserve">other </w:t>
      </w:r>
      <w:r w:rsidRPr="00F97471">
        <w:t xml:space="preserve"> legislation</w:t>
      </w:r>
      <w:proofErr w:type="gramEnd"/>
      <w:r w:rsidRPr="00F97471">
        <w:t xml:space="preserve"> refers to the “best interests of the child”.</w:t>
      </w:r>
    </w:p>
    <w:p w:rsidR="002D4C6A" w:rsidRPr="002D4C6A" w:rsidRDefault="002D4C6A" w:rsidP="00F97471">
      <w:pPr>
        <w:pStyle w:val="SingleTxtG"/>
        <w:numPr>
          <w:ilvl w:val="0"/>
          <w:numId w:val="36"/>
        </w:numPr>
        <w:ind w:left="1134" w:firstLine="0"/>
        <w:rPr>
          <w:b/>
        </w:rPr>
      </w:pPr>
      <w:r w:rsidRPr="002D4C6A">
        <w:rPr>
          <w:b/>
        </w:rPr>
        <w:t xml:space="preserve">In the light of its general comment No 14 (2013) on the right of the child to have his or her best interests taken as a primary consideration, the Committee recommends that the State party explicitly include the best interests of a child as a criterion for decision-making in all relevant legislation and take further steps for this right to be appropriately integrated and consistently interpreted and applied in all legislative, administrative and judicial proceedings and decisions as well as in all policies, programmes and projects that are relevant to and have an impact on children. In this regard, the State party is encouraged to develop procedures and criteria to provide guidance to all relevant persons in authority for determining the best interests of the child in every area. </w:t>
      </w:r>
    </w:p>
    <w:p w:rsidR="002D4C6A" w:rsidRPr="002D4C6A" w:rsidRDefault="00D90876" w:rsidP="00D90876">
      <w:pPr>
        <w:pStyle w:val="H23G"/>
      </w:pPr>
      <w:r>
        <w:tab/>
      </w:r>
      <w:r>
        <w:tab/>
      </w:r>
      <w:r w:rsidR="002D4C6A" w:rsidRPr="002D4C6A">
        <w:t>Respect for the views of the child</w:t>
      </w:r>
    </w:p>
    <w:p w:rsidR="002D4C6A" w:rsidRPr="002D4C6A" w:rsidRDefault="002D4C6A" w:rsidP="00F97471">
      <w:pPr>
        <w:pStyle w:val="SingleTxtG"/>
        <w:numPr>
          <w:ilvl w:val="0"/>
          <w:numId w:val="36"/>
        </w:numPr>
        <w:ind w:left="1134" w:firstLine="0"/>
        <w:rPr>
          <w:b/>
        </w:rPr>
      </w:pPr>
      <w:r w:rsidRPr="002D4C6A">
        <w:rPr>
          <w:b/>
        </w:rPr>
        <w:t>The Committee reiterates its previous recommendation (CRC/C/15/Add.261, para. 40) that the State party:</w:t>
      </w:r>
    </w:p>
    <w:p w:rsidR="002D4C6A" w:rsidRPr="002D4C6A" w:rsidRDefault="002D4C6A" w:rsidP="00F97471">
      <w:pPr>
        <w:pStyle w:val="SingleTxtG"/>
        <w:ind w:firstLine="567"/>
        <w:rPr>
          <w:b/>
          <w:lang w:val="x-none"/>
        </w:rPr>
      </w:pPr>
      <w:r w:rsidRPr="002D4C6A">
        <w:rPr>
          <w:b/>
          <w:bCs/>
          <w:lang w:val="x-none"/>
        </w:rPr>
        <w:t>(a)</w:t>
      </w:r>
      <w:r w:rsidRPr="002D4C6A">
        <w:rPr>
          <w:b/>
          <w:lang w:val="x-none"/>
        </w:rPr>
        <w:tab/>
        <w:t>Promote and facilitate respect for the views of children and ensure their participation in all matters affecting them in all spheres of society, particularly in the family, in school and in communities, in accordance with article 12 of the Convention;</w:t>
      </w:r>
    </w:p>
    <w:p w:rsidR="002D4C6A" w:rsidRPr="002D4C6A" w:rsidRDefault="002D4C6A" w:rsidP="00F97471">
      <w:pPr>
        <w:pStyle w:val="SingleTxtG"/>
        <w:ind w:firstLine="567"/>
        <w:rPr>
          <w:b/>
          <w:lang w:val="x-none"/>
        </w:rPr>
      </w:pPr>
      <w:r w:rsidRPr="002D4C6A">
        <w:rPr>
          <w:b/>
          <w:lang w:val="x-none"/>
        </w:rPr>
        <w:t>(b)</w:t>
      </w:r>
      <w:r w:rsidRPr="002D4C6A">
        <w:rPr>
          <w:b/>
          <w:lang w:val="x-none"/>
        </w:rPr>
        <w:tab/>
        <w:t xml:space="preserve">Amend legislation so that the child </w:t>
      </w:r>
      <w:r w:rsidRPr="002D4C6A">
        <w:rPr>
          <w:b/>
        </w:rPr>
        <w:t>is</w:t>
      </w:r>
      <w:r w:rsidRPr="002D4C6A">
        <w:rPr>
          <w:b/>
          <w:lang w:val="x-none"/>
        </w:rPr>
        <w:t xml:space="preserve"> heard and her/his views are taken into account, inter alia, in custody disputes and other legal procedures affecting children; and</w:t>
      </w:r>
    </w:p>
    <w:p w:rsidR="002D4C6A" w:rsidRPr="002D4C6A" w:rsidRDefault="002D4C6A" w:rsidP="00F97471">
      <w:pPr>
        <w:pStyle w:val="SingleTxtG"/>
        <w:ind w:firstLine="567"/>
        <w:rPr>
          <w:b/>
        </w:rPr>
      </w:pPr>
      <w:r w:rsidRPr="002D4C6A">
        <w:rPr>
          <w:b/>
        </w:rPr>
        <w:t>(c)</w:t>
      </w:r>
      <w:r w:rsidRPr="002D4C6A">
        <w:rPr>
          <w:b/>
        </w:rPr>
        <w:tab/>
        <w:t>Provide educational information to, among others, parents, teachers, government administrative officials, the judiciary and society at large on children’s rights in order to have children’s views taken into account and to allow the participation of children.</w:t>
      </w:r>
    </w:p>
    <w:p w:rsidR="002D4C6A" w:rsidRPr="002D4C6A" w:rsidRDefault="00F97471" w:rsidP="00F97471">
      <w:pPr>
        <w:pStyle w:val="H1G"/>
      </w:pPr>
      <w:r>
        <w:tab/>
        <w:t>C.</w:t>
      </w:r>
      <w:r>
        <w:tab/>
      </w:r>
      <w:r w:rsidR="002D4C6A" w:rsidRPr="002D4C6A">
        <w:t>Civil rights and freedoms (arts. 7, 8, and 13-17)</w:t>
      </w:r>
    </w:p>
    <w:p w:rsidR="002D4C6A" w:rsidRPr="002D4C6A" w:rsidRDefault="002D4C6A" w:rsidP="00F97471">
      <w:pPr>
        <w:pStyle w:val="H23G"/>
      </w:pPr>
      <w:r w:rsidRPr="002D4C6A">
        <w:tab/>
      </w:r>
      <w:r w:rsidRPr="002D4C6A">
        <w:tab/>
        <w:t>Birth registration</w:t>
      </w:r>
    </w:p>
    <w:p w:rsidR="002D4C6A" w:rsidRPr="002D4C6A" w:rsidRDefault="002D4C6A" w:rsidP="00F97471">
      <w:pPr>
        <w:pStyle w:val="SingleTxtG"/>
        <w:numPr>
          <w:ilvl w:val="0"/>
          <w:numId w:val="36"/>
        </w:numPr>
        <w:ind w:left="1134" w:firstLine="0"/>
        <w:rPr>
          <w:b/>
        </w:rPr>
      </w:pPr>
      <w:r w:rsidRPr="002D4C6A">
        <w:rPr>
          <w:b/>
        </w:rPr>
        <w:t>The Committee reiterates its previous recommendation (CRC/C/15/Add.261, para. 42), and urges the State party to increase its efforts, including awareness-raising campaigns, to ensure the registration of all children at birth.  In this regard, the Committee recommends that the State party ensure that local government authorities, wh</w:t>
      </w:r>
      <w:r w:rsidR="00A92BBF">
        <w:rPr>
          <w:b/>
        </w:rPr>
        <w:t>o</w:t>
      </w:r>
      <w:r w:rsidRPr="002D4C6A">
        <w:rPr>
          <w:b/>
        </w:rPr>
        <w:t xml:space="preserve"> are entrusted with the task of birth registration, actively engage with the local communities to ensure that births are registered in a timely and effective manner.  In this regard, the Committee urges the State party to seek assistance from, inter alia, UNICEF, non-governmental organizations and other members of the civil society.</w:t>
      </w:r>
    </w:p>
    <w:p w:rsidR="002D4C6A" w:rsidRPr="002D4C6A" w:rsidRDefault="002D4C6A" w:rsidP="002D4C6A">
      <w:pPr>
        <w:pStyle w:val="SingleTxtG"/>
        <w:rPr>
          <w:b/>
        </w:rPr>
      </w:pPr>
      <w:r w:rsidRPr="002D4C6A">
        <w:rPr>
          <w:b/>
        </w:rPr>
        <w:t xml:space="preserve">The Committee further recommends the State party amend, as a matter of priority, the relevant legislation, most notably the Birth, Death and other Personal Event (Vital Registration) Act of 1976, the Citizenship Act of 1964 and articles 9 (1), (2) and (5) of the Constitution to ensure full compliance with articles 7 and 8 of the Convention.  </w:t>
      </w:r>
    </w:p>
    <w:p w:rsidR="002D4C6A" w:rsidRPr="002D4C6A" w:rsidRDefault="002D4C6A" w:rsidP="00727598">
      <w:pPr>
        <w:pStyle w:val="H23G"/>
      </w:pPr>
      <w:r w:rsidRPr="002D4C6A">
        <w:tab/>
      </w:r>
      <w:r w:rsidRPr="002D4C6A">
        <w:tab/>
        <w:t>Nationality</w:t>
      </w:r>
    </w:p>
    <w:p w:rsidR="002D4C6A" w:rsidRPr="00F97471" w:rsidRDefault="002D4C6A" w:rsidP="00F97471">
      <w:pPr>
        <w:pStyle w:val="SingleTxtG"/>
        <w:numPr>
          <w:ilvl w:val="0"/>
          <w:numId w:val="36"/>
        </w:numPr>
        <w:ind w:left="1134" w:firstLine="0"/>
      </w:pPr>
      <w:r w:rsidRPr="00F97471">
        <w:t>The Committee is concerned about the hindrances experienced by many children in access to Nepali nationality. It is especially concerned that:</w:t>
      </w:r>
    </w:p>
    <w:p w:rsidR="002D4C6A" w:rsidRPr="002D4C6A" w:rsidRDefault="00F97471" w:rsidP="00F66841">
      <w:pPr>
        <w:pStyle w:val="SingleTxtG"/>
        <w:ind w:firstLine="567"/>
      </w:pPr>
      <w:r>
        <w:t>(a)</w:t>
      </w:r>
      <w:r>
        <w:tab/>
      </w:r>
      <w:r w:rsidR="002D4C6A" w:rsidRPr="002D4C6A">
        <w:t xml:space="preserve">Acquisition of Nepali citizenship by descent is conditional on evidence that both the father and mother of the child are Nepali citizens; furthermore, it excludes children of unwed mothers, of a Nepali mother and foreign or unknown father, of refugees or of parents unable to prove citizenship, and children of same-sex parents; </w:t>
      </w:r>
    </w:p>
    <w:p w:rsidR="002D4C6A" w:rsidRPr="002D4C6A" w:rsidRDefault="00F97471" w:rsidP="00F66841">
      <w:pPr>
        <w:pStyle w:val="SingleTxtG"/>
        <w:ind w:firstLine="567"/>
      </w:pPr>
      <w:r>
        <w:t>(b)</w:t>
      </w:r>
      <w:r>
        <w:tab/>
      </w:r>
      <w:r w:rsidR="002D4C6A" w:rsidRPr="002D4C6A">
        <w:t>Children of Nepali mothers and non-national fathers will not be granted Nepali citizenship until they attain majority, which exposes them to the risk of statelessness until adulthood; and,</w:t>
      </w:r>
    </w:p>
    <w:p w:rsidR="002D4C6A" w:rsidRPr="002D4C6A" w:rsidRDefault="00F97471" w:rsidP="00F66841">
      <w:pPr>
        <w:pStyle w:val="SingleTxtG"/>
        <w:ind w:firstLine="567"/>
      </w:pPr>
      <w:r>
        <w:t>(c)</w:t>
      </w:r>
      <w:r>
        <w:tab/>
      </w:r>
      <w:r w:rsidR="002D4C6A" w:rsidRPr="002D4C6A">
        <w:t>The criteria for transmission of citizenship from Nepali mothers to their chi</w:t>
      </w:r>
      <w:r w:rsidR="004C2B84">
        <w:t xml:space="preserve">ldren remain discriminatory as </w:t>
      </w:r>
      <w:r w:rsidR="002D4C6A" w:rsidRPr="002D4C6A">
        <w:t>they require the mother to be a Nepali resident, excluding children born to women who are not permanent residents, and citizenship is subject to revocation for children whose previously unidentified father is later proven to be a foreigner.</w:t>
      </w:r>
    </w:p>
    <w:p w:rsidR="002D4C6A" w:rsidRPr="00F66841" w:rsidRDefault="002D4C6A" w:rsidP="00F66841">
      <w:pPr>
        <w:pStyle w:val="SingleTxtG"/>
        <w:numPr>
          <w:ilvl w:val="0"/>
          <w:numId w:val="36"/>
        </w:numPr>
        <w:ind w:left="1134" w:firstLine="0"/>
        <w:rPr>
          <w:b/>
        </w:rPr>
      </w:pPr>
      <w:r w:rsidRPr="00F66841">
        <w:rPr>
          <w:b/>
        </w:rPr>
        <w:t>The Committee recommends that the State party amend, as a matter of priority, the relevant legislation, particularly the Birth, Death and other Personal Event (Vital Registration) Act of 1976, the Citizenship Act of 1964 and articles 9 (1), (2) and (5) of the Constitution to ensure full compliance with articles 7 and 8 of the Convention.  The Committee also recommends that the State Party amend its legislation on transmission of nationality by:</w:t>
      </w:r>
    </w:p>
    <w:p w:rsidR="002D4C6A" w:rsidRPr="002D4C6A" w:rsidRDefault="002D4C6A" w:rsidP="00F66841">
      <w:pPr>
        <w:pStyle w:val="SingleTxtG"/>
        <w:ind w:firstLine="567"/>
        <w:rPr>
          <w:b/>
          <w:lang w:val="en-US"/>
        </w:rPr>
      </w:pPr>
      <w:r w:rsidRPr="002D4C6A">
        <w:rPr>
          <w:b/>
          <w:lang w:val="en-US"/>
        </w:rPr>
        <w:t>(a)</w:t>
      </w:r>
      <w:r w:rsidRPr="002D4C6A">
        <w:rPr>
          <w:b/>
          <w:lang w:val="en-US"/>
        </w:rPr>
        <w:tab/>
      </w:r>
      <w:r w:rsidRPr="002D4C6A">
        <w:rPr>
          <w:b/>
        </w:rPr>
        <w:t xml:space="preserve">Removing </w:t>
      </w:r>
      <w:r w:rsidRPr="002D4C6A">
        <w:rPr>
          <w:b/>
          <w:lang w:val="en-US"/>
        </w:rPr>
        <w:t>the requirement for both parents to prove citizenship;</w:t>
      </w:r>
    </w:p>
    <w:p w:rsidR="002D4C6A" w:rsidRPr="002D4C6A" w:rsidRDefault="002D4C6A" w:rsidP="00727598">
      <w:pPr>
        <w:pStyle w:val="SingleTxtG"/>
        <w:ind w:firstLine="567"/>
        <w:rPr>
          <w:b/>
          <w:lang w:val="en-US"/>
        </w:rPr>
      </w:pPr>
      <w:r w:rsidRPr="002D4C6A">
        <w:rPr>
          <w:b/>
          <w:lang w:val="en-US"/>
        </w:rPr>
        <w:t>(b)</w:t>
      </w:r>
      <w:r w:rsidRPr="002D4C6A">
        <w:rPr>
          <w:b/>
          <w:lang w:val="en-US"/>
        </w:rPr>
        <w:tab/>
        <w:t>Making citizenship by descent accessible through proof of citizenship of one of the parents, regardless of the parent’s sex; and,</w:t>
      </w:r>
    </w:p>
    <w:p w:rsidR="002D4C6A" w:rsidRPr="002D4C6A" w:rsidRDefault="002D4C6A" w:rsidP="00727598">
      <w:pPr>
        <w:pStyle w:val="SingleTxtG"/>
        <w:ind w:firstLine="567"/>
        <w:rPr>
          <w:b/>
          <w:lang w:val="en-US"/>
        </w:rPr>
      </w:pPr>
      <w:r w:rsidRPr="002D4C6A">
        <w:rPr>
          <w:b/>
          <w:lang w:val="en-US"/>
        </w:rPr>
        <w:t>(c)</w:t>
      </w:r>
      <w:r w:rsidRPr="002D4C6A">
        <w:rPr>
          <w:b/>
          <w:lang w:val="en-US"/>
        </w:rPr>
        <w:tab/>
      </w:r>
      <w:r w:rsidRPr="002D4C6A">
        <w:rPr>
          <w:b/>
        </w:rPr>
        <w:t>Make the acquisition of Nepali nationality by descent accessible to children at birth.</w:t>
      </w:r>
    </w:p>
    <w:p w:rsidR="002D4C6A" w:rsidRPr="002D4C6A" w:rsidRDefault="00727598" w:rsidP="00727598">
      <w:pPr>
        <w:pStyle w:val="H1G"/>
      </w:pPr>
      <w:r>
        <w:tab/>
      </w:r>
      <w:r w:rsidR="002D4C6A" w:rsidRPr="002D4C6A">
        <w:t>D.</w:t>
      </w:r>
      <w:r w:rsidR="002D4C6A" w:rsidRPr="002D4C6A">
        <w:tab/>
        <w:t>Violence against children (arts. 19, 24, para.3, 28, para. 2, 34, 37 (a) and 39)</w:t>
      </w:r>
    </w:p>
    <w:p w:rsidR="002D4C6A" w:rsidRPr="002D4C6A" w:rsidRDefault="002D4C6A" w:rsidP="00727598">
      <w:pPr>
        <w:pStyle w:val="H23G"/>
      </w:pPr>
      <w:r w:rsidRPr="002D4C6A">
        <w:tab/>
      </w:r>
      <w:r w:rsidRPr="002D4C6A">
        <w:tab/>
        <w:t>Torture and other cruel or degrading treatment or punishment</w:t>
      </w:r>
    </w:p>
    <w:p w:rsidR="002D4C6A" w:rsidRPr="00F66841" w:rsidRDefault="002D4C6A" w:rsidP="00F66841">
      <w:pPr>
        <w:pStyle w:val="SingleTxtG"/>
        <w:numPr>
          <w:ilvl w:val="0"/>
          <w:numId w:val="36"/>
        </w:numPr>
        <w:ind w:left="1134" w:firstLine="0"/>
      </w:pPr>
      <w:r w:rsidRPr="00F66841">
        <w:t>The Committee notes the efforts made by the State party to address torture and ill-treatment of children. However, it remains deeply concerned about:</w:t>
      </w:r>
    </w:p>
    <w:p w:rsidR="002D4C6A" w:rsidRPr="002D4C6A" w:rsidRDefault="00F66841" w:rsidP="00F66841">
      <w:pPr>
        <w:pStyle w:val="SingleTxtG"/>
        <w:ind w:firstLine="567"/>
        <w:rPr>
          <w:lang w:val="en-US"/>
        </w:rPr>
      </w:pPr>
      <w:r>
        <w:t>(a)</w:t>
      </w:r>
      <w:r>
        <w:tab/>
      </w:r>
      <w:r w:rsidR="002D4C6A" w:rsidRPr="002D4C6A">
        <w:t xml:space="preserve">Reports of widespread </w:t>
      </w:r>
      <w:r w:rsidR="002D4C6A" w:rsidRPr="002D4C6A">
        <w:rPr>
          <w:lang w:val="en-US"/>
        </w:rPr>
        <w:t>acts of torture and ill-treatment of children in detention facilities and in residential homes;</w:t>
      </w:r>
    </w:p>
    <w:p w:rsidR="002D4C6A" w:rsidRPr="002D4C6A" w:rsidRDefault="00F66841" w:rsidP="00F66841">
      <w:pPr>
        <w:pStyle w:val="SingleTxtG"/>
        <w:ind w:firstLine="567"/>
        <w:rPr>
          <w:lang w:val="en-US"/>
        </w:rPr>
      </w:pPr>
      <w:r>
        <w:rPr>
          <w:lang w:val="en-US"/>
        </w:rPr>
        <w:t>(b)</w:t>
      </w:r>
      <w:r>
        <w:rPr>
          <w:lang w:val="en-US"/>
        </w:rPr>
        <w:tab/>
      </w:r>
      <w:r w:rsidR="002D4C6A" w:rsidRPr="002D4C6A">
        <w:rPr>
          <w:lang w:val="en-US"/>
        </w:rPr>
        <w:t xml:space="preserve">Impunity for extra-judicial killings, enforced disappearances and torture of children, including the continued lack of accountability for such violations committed during Nepal’s Civil War; and, </w:t>
      </w:r>
    </w:p>
    <w:p w:rsidR="002D4C6A" w:rsidRPr="002D4C6A" w:rsidRDefault="00F66841" w:rsidP="00F66841">
      <w:pPr>
        <w:pStyle w:val="SingleTxtG"/>
        <w:ind w:firstLine="567"/>
        <w:rPr>
          <w:lang w:val="en-US"/>
        </w:rPr>
      </w:pPr>
      <w:r>
        <w:rPr>
          <w:lang w:val="en-US"/>
        </w:rPr>
        <w:t>(c)</w:t>
      </w:r>
      <w:r>
        <w:rPr>
          <w:lang w:val="en-US"/>
        </w:rPr>
        <w:tab/>
      </w:r>
      <w:r w:rsidR="002D4C6A" w:rsidRPr="002D4C6A">
        <w:rPr>
          <w:lang w:val="en-US"/>
        </w:rPr>
        <w:t>The absence of domestic legislation criminalizing  crimes in international law, including torture and enforced disappearances, which hinders access to justice and reparation for child victims of such crimes and their families by limiting legal action for such acts to disciplinary proceedings and financial compensation.</w:t>
      </w:r>
    </w:p>
    <w:p w:rsidR="002D4C6A" w:rsidRPr="00F66841" w:rsidRDefault="002D4C6A" w:rsidP="00F66841">
      <w:pPr>
        <w:pStyle w:val="SingleTxtG"/>
        <w:numPr>
          <w:ilvl w:val="0"/>
          <w:numId w:val="36"/>
        </w:numPr>
        <w:ind w:left="1134" w:firstLine="0"/>
        <w:rPr>
          <w:b/>
        </w:rPr>
      </w:pPr>
      <w:r w:rsidRPr="00F66841">
        <w:rPr>
          <w:b/>
        </w:rPr>
        <w:t>With reference to the Committee’s general comment No. 13 (2011) on the right of the child to freedom from all forms of violence</w:t>
      </w:r>
      <w:r w:rsidR="00A92BBF">
        <w:rPr>
          <w:b/>
        </w:rPr>
        <w:t xml:space="preserve"> and Sustainable Development Goal 16.2</w:t>
      </w:r>
      <w:r w:rsidRPr="00F66841">
        <w:rPr>
          <w:b/>
        </w:rPr>
        <w:t>, the Committee recommends that the State Party:</w:t>
      </w:r>
    </w:p>
    <w:p w:rsidR="002D4C6A" w:rsidRPr="002D4C6A" w:rsidRDefault="00F66841" w:rsidP="00F66841">
      <w:pPr>
        <w:pStyle w:val="SingleTxtG"/>
        <w:ind w:firstLine="567"/>
        <w:rPr>
          <w:b/>
          <w:lang w:val="en-US"/>
        </w:rPr>
      </w:pPr>
      <w:r>
        <w:rPr>
          <w:b/>
          <w:lang w:val="en-US"/>
        </w:rPr>
        <w:t>(a)</w:t>
      </w:r>
      <w:r>
        <w:rPr>
          <w:b/>
          <w:lang w:val="en-US"/>
        </w:rPr>
        <w:tab/>
      </w:r>
      <w:r w:rsidR="002D4C6A" w:rsidRPr="002D4C6A">
        <w:rPr>
          <w:b/>
          <w:lang w:val="en-US"/>
        </w:rPr>
        <w:t xml:space="preserve">Strengthen its effort to put an end to torture and ill-treatment of children in all settings, including by ensuring that children are only detained </w:t>
      </w:r>
      <w:r w:rsidR="00A92BBF">
        <w:rPr>
          <w:b/>
          <w:lang w:val="en-US"/>
        </w:rPr>
        <w:t>as a measure of</w:t>
      </w:r>
      <w:r w:rsidR="002D4C6A" w:rsidRPr="002D4C6A">
        <w:rPr>
          <w:b/>
          <w:lang w:val="en-US"/>
        </w:rPr>
        <w:t xml:space="preserve"> last resort, </w:t>
      </w:r>
      <w:r w:rsidR="002D4C6A" w:rsidRPr="002D4C6A">
        <w:rPr>
          <w:b/>
        </w:rPr>
        <w:t>and by establishing an independent mechanism for the regular inspection of residential care facilities;</w:t>
      </w:r>
    </w:p>
    <w:p w:rsidR="002D4C6A" w:rsidRPr="002D4C6A" w:rsidRDefault="00F66841" w:rsidP="00F66841">
      <w:pPr>
        <w:pStyle w:val="SingleTxtG"/>
        <w:ind w:firstLine="567"/>
        <w:rPr>
          <w:b/>
          <w:lang w:val="en-US"/>
        </w:rPr>
      </w:pPr>
      <w:r>
        <w:rPr>
          <w:b/>
          <w:lang w:val="en-US"/>
        </w:rPr>
        <w:t>(b)</w:t>
      </w:r>
      <w:r>
        <w:rPr>
          <w:b/>
          <w:lang w:val="en-US"/>
        </w:rPr>
        <w:tab/>
      </w:r>
      <w:r w:rsidR="002D4C6A" w:rsidRPr="002D4C6A">
        <w:rPr>
          <w:b/>
          <w:lang w:val="en-US"/>
        </w:rPr>
        <w:t xml:space="preserve">Expeditiously establish an independent inquiry into all alleged cases of torture and ill-treatment of children during and after the </w:t>
      </w:r>
      <w:r w:rsidR="006155CF">
        <w:rPr>
          <w:b/>
          <w:lang w:val="en-US"/>
        </w:rPr>
        <w:t>c</w:t>
      </w:r>
      <w:r w:rsidR="002D4C6A" w:rsidRPr="002D4C6A">
        <w:rPr>
          <w:b/>
          <w:lang w:val="en-US"/>
        </w:rPr>
        <w:t xml:space="preserve">ivil </w:t>
      </w:r>
      <w:r w:rsidR="006155CF">
        <w:rPr>
          <w:b/>
          <w:lang w:val="en-US"/>
        </w:rPr>
        <w:t>w</w:t>
      </w:r>
      <w:r w:rsidR="002D4C6A" w:rsidRPr="002D4C6A">
        <w:rPr>
          <w:b/>
          <w:lang w:val="en-US"/>
        </w:rPr>
        <w:t xml:space="preserve">ar; ensure that all those who have been ordering, condoning or facilitating these practices at all </w:t>
      </w:r>
      <w:r w:rsidR="004C2B84">
        <w:rPr>
          <w:b/>
          <w:lang w:val="en-US"/>
        </w:rPr>
        <w:t>levels of decision-making be pro</w:t>
      </w:r>
      <w:r w:rsidR="002D4C6A" w:rsidRPr="002D4C6A">
        <w:rPr>
          <w:b/>
          <w:lang w:val="en-US"/>
        </w:rPr>
        <w:t xml:space="preserve">secuted and subject to commensurate sanctions, and ensure that children who have been victims of torture and ill-treatment obtain redress and adequate reparation, including physical and psychological recovery and guarantees of non-repetition; and, </w:t>
      </w:r>
    </w:p>
    <w:p w:rsidR="002D4C6A" w:rsidRPr="002D4C6A" w:rsidRDefault="00F66841" w:rsidP="00F66841">
      <w:pPr>
        <w:pStyle w:val="SingleTxtG"/>
        <w:ind w:firstLine="567"/>
        <w:rPr>
          <w:b/>
          <w:lang w:val="en-US"/>
        </w:rPr>
      </w:pPr>
      <w:r>
        <w:rPr>
          <w:b/>
          <w:lang w:val="en-US"/>
        </w:rPr>
        <w:t>(c)</w:t>
      </w:r>
      <w:r>
        <w:rPr>
          <w:b/>
          <w:lang w:val="en-US"/>
        </w:rPr>
        <w:tab/>
      </w:r>
      <w:r w:rsidR="002D4C6A" w:rsidRPr="002D4C6A">
        <w:rPr>
          <w:b/>
          <w:lang w:val="en-US"/>
        </w:rPr>
        <w:t>Amend domestic legislation to correspond with international standards requiring the explicit criminalization of torture and other forms of ill-treatment.</w:t>
      </w:r>
    </w:p>
    <w:p w:rsidR="002D4C6A" w:rsidRPr="002D4C6A" w:rsidRDefault="002D4C6A" w:rsidP="00727598">
      <w:pPr>
        <w:pStyle w:val="H23G"/>
      </w:pPr>
      <w:r w:rsidRPr="002D4C6A">
        <w:tab/>
      </w:r>
      <w:r w:rsidRPr="002D4C6A">
        <w:tab/>
        <w:t>Corporal punishment</w:t>
      </w:r>
    </w:p>
    <w:p w:rsidR="002D4C6A" w:rsidRPr="00F66841" w:rsidRDefault="002D4C6A" w:rsidP="00F66841">
      <w:pPr>
        <w:pStyle w:val="SingleTxtG"/>
        <w:numPr>
          <w:ilvl w:val="0"/>
          <w:numId w:val="36"/>
        </w:numPr>
        <w:ind w:left="1134" w:firstLine="0"/>
      </w:pPr>
      <w:r w:rsidRPr="00F66841">
        <w:t xml:space="preserve">The Committee welcomes the prohibition of corporal punishment </w:t>
      </w:r>
      <w:r w:rsidR="006155CF">
        <w:t>in</w:t>
      </w:r>
      <w:r w:rsidRPr="00F66841">
        <w:t xml:space="preserve"> article 39.7 of the Constitution. However, it remains concerned that corporal punishment is not explicitly prohibited in all legislation relating to children’s rights and remains, de facto, prevalent at home, in schools, and in other institutions and forms of childcare.</w:t>
      </w:r>
    </w:p>
    <w:p w:rsidR="002D4C6A" w:rsidRPr="002D4C6A" w:rsidRDefault="002D4C6A" w:rsidP="00F66841">
      <w:pPr>
        <w:pStyle w:val="SingleTxtG"/>
        <w:numPr>
          <w:ilvl w:val="0"/>
          <w:numId w:val="36"/>
        </w:numPr>
        <w:ind w:left="1134" w:firstLine="0"/>
        <w:rPr>
          <w:b/>
        </w:rPr>
      </w:pPr>
      <w:r w:rsidRPr="002D4C6A">
        <w:rPr>
          <w:b/>
        </w:rPr>
        <w:t>The Committee reiterates its previous recommendation (CRC/C/15/Add.261, para. 48) for the State party to:</w:t>
      </w:r>
    </w:p>
    <w:p w:rsidR="002D4C6A" w:rsidRPr="002D4C6A" w:rsidRDefault="002D4C6A" w:rsidP="00F66841">
      <w:pPr>
        <w:pStyle w:val="SingleTxtG"/>
        <w:ind w:firstLine="567"/>
        <w:rPr>
          <w:b/>
          <w:lang w:val="x-none"/>
        </w:rPr>
      </w:pPr>
      <w:r w:rsidRPr="002D4C6A">
        <w:rPr>
          <w:b/>
          <w:bCs/>
          <w:lang w:val="x-none"/>
        </w:rPr>
        <w:t>(a)</w:t>
      </w:r>
      <w:r w:rsidRPr="002D4C6A">
        <w:rPr>
          <w:b/>
          <w:lang w:val="x-none"/>
        </w:rPr>
        <w:tab/>
        <w:t>Expressly prohibit corporal punishment and ill-treatment of children by law in the family, schools and other institutions;</w:t>
      </w:r>
    </w:p>
    <w:p w:rsidR="002D4C6A" w:rsidRPr="002D4C6A" w:rsidRDefault="002D4C6A" w:rsidP="00F66841">
      <w:pPr>
        <w:pStyle w:val="SingleTxtG"/>
        <w:ind w:firstLine="567"/>
        <w:rPr>
          <w:b/>
          <w:lang w:val="x-none"/>
        </w:rPr>
      </w:pPr>
      <w:r w:rsidRPr="002D4C6A">
        <w:rPr>
          <w:b/>
          <w:iCs/>
          <w:lang w:val="x-none"/>
        </w:rPr>
        <w:t>(b)</w:t>
      </w:r>
      <w:r w:rsidRPr="002D4C6A">
        <w:rPr>
          <w:b/>
          <w:iCs/>
          <w:lang w:val="x-none"/>
        </w:rPr>
        <w:tab/>
        <w:t xml:space="preserve">Expedite the process of amending the relevant provision of the Children’s Act and the 1963 </w:t>
      </w:r>
      <w:proofErr w:type="spellStart"/>
      <w:r w:rsidRPr="002D4C6A">
        <w:rPr>
          <w:b/>
          <w:iCs/>
          <w:lang w:val="x-none"/>
        </w:rPr>
        <w:t>Muluki</w:t>
      </w:r>
      <w:proofErr w:type="spellEnd"/>
      <w:r w:rsidRPr="002D4C6A">
        <w:rPr>
          <w:b/>
          <w:iCs/>
          <w:lang w:val="x-none"/>
        </w:rPr>
        <w:t xml:space="preserve"> Ain to ensure compliance with article 19 of the Convention;</w:t>
      </w:r>
    </w:p>
    <w:p w:rsidR="002D4C6A" w:rsidRPr="002D4C6A" w:rsidRDefault="002D4C6A" w:rsidP="00F66841">
      <w:pPr>
        <w:pStyle w:val="SingleTxtG"/>
        <w:ind w:firstLine="567"/>
        <w:rPr>
          <w:b/>
          <w:lang w:val="x-none"/>
        </w:rPr>
      </w:pPr>
      <w:r w:rsidRPr="002D4C6A">
        <w:rPr>
          <w:b/>
          <w:lang w:val="x-none"/>
        </w:rPr>
        <w:t>(c)</w:t>
      </w:r>
      <w:r w:rsidRPr="002D4C6A">
        <w:rPr>
          <w:b/>
          <w:lang w:val="x-none"/>
        </w:rPr>
        <w:tab/>
        <w:t>Strengthen awareness-raising campaigns to inform parents, teachers and professionals working with children, particularly in institutions, as well as the public at large</w:t>
      </w:r>
      <w:r w:rsidR="00A92BBF" w:rsidRPr="0087038C">
        <w:rPr>
          <w:b/>
        </w:rPr>
        <w:t>,</w:t>
      </w:r>
      <w:r w:rsidRPr="002D4C6A">
        <w:rPr>
          <w:b/>
          <w:lang w:val="x-none"/>
        </w:rPr>
        <w:t xml:space="preserve"> about the negative impact of corporal punishment and ill-treatment on children and actively involve children and the media in the process; and,</w:t>
      </w:r>
    </w:p>
    <w:p w:rsidR="002D4C6A" w:rsidRPr="0087038C" w:rsidRDefault="002D4C6A" w:rsidP="00F66841">
      <w:pPr>
        <w:pStyle w:val="SingleTxtG"/>
        <w:ind w:firstLine="567"/>
        <w:rPr>
          <w:b/>
        </w:rPr>
      </w:pPr>
      <w:r w:rsidRPr="002D4C6A">
        <w:rPr>
          <w:b/>
          <w:bCs/>
          <w:lang w:val="x-none"/>
        </w:rPr>
        <w:t>(d)</w:t>
      </w:r>
      <w:r w:rsidRPr="002D4C6A">
        <w:rPr>
          <w:b/>
          <w:bCs/>
          <w:lang w:val="x-none"/>
        </w:rPr>
        <w:tab/>
        <w:t>Ensure that positive, participatory, non-violent forms of discipline are administrated in a manner consistent with the child’s human dignity and in conformity with the Convention, in particular article 28 (2) as an alternative to corporal punishment at all levels of society.</w:t>
      </w:r>
    </w:p>
    <w:p w:rsidR="002D4C6A" w:rsidRPr="002D4C6A" w:rsidRDefault="002D4C6A" w:rsidP="00727598">
      <w:pPr>
        <w:pStyle w:val="H23G"/>
      </w:pPr>
      <w:r w:rsidRPr="002D4C6A">
        <w:tab/>
      </w:r>
      <w:r w:rsidRPr="002D4C6A">
        <w:tab/>
        <w:t>Abuse and neglect</w:t>
      </w:r>
    </w:p>
    <w:p w:rsidR="002D4C6A" w:rsidRPr="002D4C6A" w:rsidRDefault="002D4C6A" w:rsidP="00F66841">
      <w:pPr>
        <w:pStyle w:val="SingleTxtG"/>
        <w:numPr>
          <w:ilvl w:val="0"/>
          <w:numId w:val="36"/>
        </w:numPr>
        <w:ind w:left="1134" w:firstLine="0"/>
      </w:pPr>
      <w:r w:rsidRPr="002D4C6A">
        <w:t xml:space="preserve">The Committee is concerned about the prevalence of abuse and neglect of children and the lack of laws addressing it </w:t>
      </w:r>
      <w:r w:rsidR="00A92BBF">
        <w:t>as well as</w:t>
      </w:r>
      <w:r w:rsidRPr="002D4C6A">
        <w:t xml:space="preserve"> the absence of effective and child-friendly reporting mechanisms for cases of abuse and/or neglect.   </w:t>
      </w:r>
    </w:p>
    <w:p w:rsidR="002D4C6A" w:rsidRPr="00F66841" w:rsidRDefault="002D4C6A" w:rsidP="00F66841">
      <w:pPr>
        <w:pStyle w:val="SingleTxtG"/>
        <w:numPr>
          <w:ilvl w:val="0"/>
          <w:numId w:val="36"/>
        </w:numPr>
        <w:ind w:left="1134" w:firstLine="0"/>
        <w:rPr>
          <w:b/>
        </w:rPr>
      </w:pPr>
      <w:r w:rsidRPr="00F66841">
        <w:rPr>
          <w:b/>
        </w:rPr>
        <w:t>In the light of its general comment No. 13 (2011) on the right of the child to freedom from all forms of violence and taking note of Sustainable Development Goal 16.2 to end abuse, exploitation, trafficking and all forms of violence against and torture of children, the Committee recommends that the State party:</w:t>
      </w:r>
    </w:p>
    <w:p w:rsidR="002D4C6A" w:rsidRPr="002D4C6A" w:rsidRDefault="002D4C6A" w:rsidP="00F66841">
      <w:pPr>
        <w:pStyle w:val="SingleTxtG"/>
        <w:ind w:firstLine="567"/>
        <w:rPr>
          <w:b/>
        </w:rPr>
      </w:pPr>
      <w:r w:rsidRPr="002D4C6A">
        <w:rPr>
          <w:b/>
        </w:rPr>
        <w:t>(a)</w:t>
      </w:r>
      <w:r w:rsidRPr="002D4C6A">
        <w:rPr>
          <w:b/>
        </w:rPr>
        <w:tab/>
        <w:t>Enact legislation which clearly defines and prohibits the abuse and neglect of children in all settings;</w:t>
      </w:r>
    </w:p>
    <w:p w:rsidR="002D4C6A" w:rsidRPr="002D4C6A" w:rsidRDefault="002D4C6A" w:rsidP="00F66841">
      <w:pPr>
        <w:pStyle w:val="SingleTxtG"/>
        <w:ind w:firstLine="567"/>
        <w:rPr>
          <w:b/>
        </w:rPr>
      </w:pPr>
      <w:r w:rsidRPr="002D4C6A">
        <w:rPr>
          <w:b/>
        </w:rPr>
        <w:t>(b)</w:t>
      </w:r>
      <w:r w:rsidRPr="002D4C6A">
        <w:rPr>
          <w:b/>
        </w:rPr>
        <w:tab/>
        <w:t>Further strengthen awareness-raising and education programmes — including campaigns — with the involvement of children, in order to formulate a comprehensive strategy for preventing and combating child abuse;</w:t>
      </w:r>
    </w:p>
    <w:p w:rsidR="002D4C6A" w:rsidRPr="002D4C6A" w:rsidRDefault="002D4C6A" w:rsidP="00F66841">
      <w:pPr>
        <w:pStyle w:val="SingleTxtG"/>
        <w:ind w:firstLine="567"/>
        <w:rPr>
          <w:b/>
        </w:rPr>
      </w:pPr>
      <w:r w:rsidRPr="002D4C6A">
        <w:rPr>
          <w:b/>
        </w:rPr>
        <w:t>(c)</w:t>
      </w:r>
      <w:r w:rsidRPr="002D4C6A">
        <w:rPr>
          <w:b/>
        </w:rPr>
        <w:tab/>
        <w:t>Establish a national database on all cases of domestic violence against children, and undertake a comprehensive assessment of the extent, causes and nature of such violence;</w:t>
      </w:r>
    </w:p>
    <w:p w:rsidR="002D4C6A" w:rsidRPr="002D4C6A" w:rsidRDefault="002D4C6A" w:rsidP="00F66841">
      <w:pPr>
        <w:pStyle w:val="SingleTxtG"/>
        <w:ind w:firstLine="567"/>
        <w:rPr>
          <w:b/>
        </w:rPr>
      </w:pPr>
      <w:r w:rsidRPr="002D4C6A">
        <w:rPr>
          <w:b/>
        </w:rPr>
        <w:t>(d)</w:t>
      </w:r>
      <w:r w:rsidRPr="002D4C6A">
        <w:rPr>
          <w:b/>
        </w:rPr>
        <w:tab/>
        <w:t xml:space="preserve">Ensure the allocation of adequate human, technical and financial resources to enable </w:t>
      </w:r>
      <w:r w:rsidR="00A92BBF">
        <w:rPr>
          <w:b/>
        </w:rPr>
        <w:t xml:space="preserve">the </w:t>
      </w:r>
      <w:r w:rsidRPr="002D4C6A">
        <w:rPr>
          <w:b/>
        </w:rPr>
        <w:t>implement</w:t>
      </w:r>
      <w:r w:rsidR="00A92BBF">
        <w:rPr>
          <w:b/>
        </w:rPr>
        <w:t>ation of</w:t>
      </w:r>
      <w:r w:rsidRPr="002D4C6A">
        <w:rPr>
          <w:b/>
        </w:rPr>
        <w:t xml:space="preserve"> long-term programmes for addressing the root causes of violence and abuse; and,</w:t>
      </w:r>
    </w:p>
    <w:p w:rsidR="002D4C6A" w:rsidRPr="002D4C6A" w:rsidRDefault="002D4C6A" w:rsidP="00F66841">
      <w:pPr>
        <w:pStyle w:val="SingleTxtG"/>
        <w:ind w:firstLine="567"/>
        <w:rPr>
          <w:b/>
        </w:rPr>
      </w:pPr>
      <w:r w:rsidRPr="002D4C6A">
        <w:rPr>
          <w:b/>
        </w:rPr>
        <w:t>(e)</w:t>
      </w:r>
      <w:r w:rsidRPr="002D4C6A">
        <w:rPr>
          <w:b/>
        </w:rPr>
        <w:tab/>
        <w:t xml:space="preserve">Encourage community-based programmes aimed at preventing and tackling domestic violence, child abuse and neglect, including by involving former </w:t>
      </w:r>
      <w:r w:rsidR="00A92BBF">
        <w:rPr>
          <w:b/>
        </w:rPr>
        <w:t xml:space="preserve">child </w:t>
      </w:r>
      <w:r w:rsidRPr="002D4C6A">
        <w:rPr>
          <w:b/>
        </w:rPr>
        <w:t>victims, volunteers and community members, and providing training support to them.</w:t>
      </w:r>
    </w:p>
    <w:p w:rsidR="002D4C6A" w:rsidRPr="002D4C6A" w:rsidRDefault="00F66841" w:rsidP="00727598">
      <w:pPr>
        <w:pStyle w:val="H23G"/>
      </w:pPr>
      <w:r>
        <w:tab/>
      </w:r>
      <w:r>
        <w:tab/>
      </w:r>
      <w:r w:rsidR="002D4C6A" w:rsidRPr="002D4C6A">
        <w:t>Sexual exploitation and abuse</w:t>
      </w:r>
    </w:p>
    <w:p w:rsidR="002D4C6A" w:rsidRPr="00F66841" w:rsidRDefault="002D4C6A" w:rsidP="00F66841">
      <w:pPr>
        <w:pStyle w:val="SingleTxtG"/>
        <w:numPr>
          <w:ilvl w:val="0"/>
          <w:numId w:val="36"/>
        </w:numPr>
        <w:ind w:left="1134" w:firstLine="0"/>
      </w:pPr>
      <w:r w:rsidRPr="002D4C6A">
        <w:t>The Committee is deeply concerned about the prevalence of sexual violence against children in all settings and the social stigma against victims of sexual violence and barriers to access to justice. It is particularly concerned about:</w:t>
      </w:r>
    </w:p>
    <w:p w:rsidR="002D4C6A" w:rsidRPr="002D4C6A" w:rsidRDefault="002D4C6A" w:rsidP="00F66841">
      <w:pPr>
        <w:pStyle w:val="SingleTxtG"/>
        <w:ind w:firstLine="567"/>
      </w:pPr>
      <w:r w:rsidRPr="002D4C6A">
        <w:t>(a)</w:t>
      </w:r>
      <w:r w:rsidR="00F66841">
        <w:tab/>
      </w:r>
      <w:r w:rsidRPr="002D4C6A">
        <w:t xml:space="preserve">The weak and non-commensurate sanctions for rape, particularly </w:t>
      </w:r>
      <w:r w:rsidR="00A92BBF" w:rsidRPr="002D4C6A">
        <w:t>marital</w:t>
      </w:r>
      <w:r w:rsidRPr="002D4C6A">
        <w:t xml:space="preserve"> rape; </w:t>
      </w:r>
    </w:p>
    <w:p w:rsidR="002D4C6A" w:rsidRPr="002D4C6A" w:rsidRDefault="002D4C6A" w:rsidP="00F66841">
      <w:pPr>
        <w:pStyle w:val="SingleTxtG"/>
        <w:ind w:firstLine="567"/>
      </w:pPr>
      <w:r w:rsidRPr="002D4C6A">
        <w:t>(b)</w:t>
      </w:r>
      <w:r w:rsidR="00F66841">
        <w:tab/>
      </w:r>
      <w:r w:rsidRPr="002D4C6A">
        <w:t xml:space="preserve">The lack of assistance and mental health support measures for </w:t>
      </w:r>
      <w:r w:rsidR="00A92BBF">
        <w:t xml:space="preserve">child </w:t>
      </w:r>
      <w:r w:rsidRPr="002D4C6A">
        <w:t>victims of sexual exploitation and abuse;</w:t>
      </w:r>
    </w:p>
    <w:p w:rsidR="002D4C6A" w:rsidRPr="002D4C6A" w:rsidRDefault="002D4C6A" w:rsidP="00F66841">
      <w:pPr>
        <w:pStyle w:val="SingleTxtG"/>
        <w:ind w:firstLine="567"/>
      </w:pPr>
      <w:r w:rsidRPr="002D4C6A">
        <w:t>(c)</w:t>
      </w:r>
      <w:r w:rsidR="00F66841">
        <w:tab/>
      </w:r>
      <w:r w:rsidRPr="002D4C6A">
        <w:t>The six months</w:t>
      </w:r>
      <w:r w:rsidRPr="002D4C6A" w:rsidDel="00A31C4B">
        <w:t xml:space="preserve"> </w:t>
      </w:r>
      <w:r w:rsidRPr="002D4C6A">
        <w:t>statute of limitation for rape, which hinders access to justice;</w:t>
      </w:r>
    </w:p>
    <w:p w:rsidR="002D4C6A" w:rsidRPr="002D4C6A" w:rsidRDefault="002D4C6A" w:rsidP="00F66841">
      <w:pPr>
        <w:pStyle w:val="SingleTxtG"/>
        <w:ind w:firstLine="567"/>
      </w:pPr>
      <w:r w:rsidRPr="002D4C6A">
        <w:t>(d)</w:t>
      </w:r>
      <w:r w:rsidR="00F66841">
        <w:tab/>
      </w:r>
      <w:r w:rsidRPr="002D4C6A">
        <w:t>The lack of reparations for survivors who suffered sexual violence during the conflict, some of whom were children at the time; and,</w:t>
      </w:r>
    </w:p>
    <w:p w:rsidR="002D4C6A" w:rsidRPr="002D4C6A" w:rsidRDefault="00F66841" w:rsidP="00F66841">
      <w:pPr>
        <w:pStyle w:val="SingleTxtG"/>
        <w:ind w:firstLine="567"/>
        <w:rPr>
          <w:lang w:val="en-US"/>
        </w:rPr>
      </w:pPr>
      <w:r>
        <w:t>(e)</w:t>
      </w:r>
      <w:r>
        <w:tab/>
      </w:r>
      <w:r w:rsidR="002D4C6A" w:rsidRPr="002D4C6A">
        <w:t xml:space="preserve">Reports of girls being forced to marry their rapist. </w:t>
      </w:r>
    </w:p>
    <w:p w:rsidR="002D4C6A" w:rsidRPr="00F66841" w:rsidRDefault="002D4C6A" w:rsidP="00F66841">
      <w:pPr>
        <w:pStyle w:val="SingleTxtG"/>
        <w:numPr>
          <w:ilvl w:val="0"/>
          <w:numId w:val="36"/>
        </w:numPr>
        <w:ind w:left="1134" w:firstLine="0"/>
        <w:rPr>
          <w:b/>
        </w:rPr>
      </w:pPr>
      <w:r w:rsidRPr="00F66841">
        <w:rPr>
          <w:b/>
        </w:rPr>
        <w:t xml:space="preserve">The Committee urges the State party to conduct awareness-raising activities to combat the stigmatization of victims of sexual exploitation and abuse, including incest, and ensure accessible, confidential, child-friendly and effective reporting channels for such violations. Furthermore, the Committee recommends that the State party: </w:t>
      </w:r>
    </w:p>
    <w:p w:rsidR="002D4C6A" w:rsidRPr="002D4C6A" w:rsidRDefault="002D4C6A" w:rsidP="00F66841">
      <w:pPr>
        <w:pStyle w:val="SingleTxtG"/>
        <w:ind w:firstLine="567"/>
        <w:rPr>
          <w:b/>
        </w:rPr>
      </w:pPr>
      <w:r w:rsidRPr="002D4C6A">
        <w:rPr>
          <w:b/>
        </w:rPr>
        <w:t>(a)</w:t>
      </w:r>
      <w:r w:rsidR="00F66841">
        <w:rPr>
          <w:b/>
        </w:rPr>
        <w:tab/>
      </w:r>
      <w:r w:rsidRPr="002D4C6A">
        <w:rPr>
          <w:b/>
        </w:rPr>
        <w:t>Amend its legislation to ensure commensurate penalties for rape and align the penalties for marital rape with penalties for rape outside of marriage;</w:t>
      </w:r>
    </w:p>
    <w:p w:rsidR="002D4C6A" w:rsidRPr="002D4C6A" w:rsidRDefault="002D4C6A" w:rsidP="00F66841">
      <w:pPr>
        <w:pStyle w:val="SingleTxtG"/>
        <w:ind w:firstLine="567"/>
        <w:rPr>
          <w:b/>
        </w:rPr>
      </w:pPr>
      <w:r w:rsidRPr="002D4C6A">
        <w:rPr>
          <w:b/>
        </w:rPr>
        <w:t>(b)</w:t>
      </w:r>
      <w:r w:rsidR="00F66841">
        <w:rPr>
          <w:b/>
        </w:rPr>
        <w:tab/>
      </w:r>
      <w:r w:rsidRPr="002D4C6A">
        <w:rPr>
          <w:b/>
        </w:rPr>
        <w:t>Ensure the availability and accessibility of psychological support for child victims of sexual exploitation and abuse;</w:t>
      </w:r>
    </w:p>
    <w:p w:rsidR="002D4C6A" w:rsidRPr="002D4C6A" w:rsidRDefault="00F66841" w:rsidP="00F66841">
      <w:pPr>
        <w:pStyle w:val="SingleTxtG"/>
        <w:ind w:firstLine="567"/>
        <w:rPr>
          <w:b/>
        </w:rPr>
      </w:pPr>
      <w:r>
        <w:rPr>
          <w:b/>
        </w:rPr>
        <w:t>(c)</w:t>
      </w:r>
      <w:r>
        <w:rPr>
          <w:b/>
        </w:rPr>
        <w:tab/>
      </w:r>
      <w:r w:rsidR="002D4C6A" w:rsidRPr="002D4C6A">
        <w:rPr>
          <w:b/>
        </w:rPr>
        <w:t xml:space="preserve">Abolish the six months statute of limitation for rape; and, establish mechanisms, procedures and guidelines to ensure mandatory reporting of cases of child sexual abuse and exploitation; </w:t>
      </w:r>
    </w:p>
    <w:p w:rsidR="002D4C6A" w:rsidRPr="002D4C6A" w:rsidRDefault="00F66841" w:rsidP="00F66841">
      <w:pPr>
        <w:pStyle w:val="SingleTxtG"/>
        <w:ind w:firstLine="567"/>
        <w:rPr>
          <w:b/>
        </w:rPr>
      </w:pPr>
      <w:r>
        <w:rPr>
          <w:b/>
        </w:rPr>
        <w:t>(d)</w:t>
      </w:r>
      <w:r>
        <w:rPr>
          <w:b/>
        </w:rPr>
        <w:tab/>
      </w:r>
      <w:r w:rsidR="002D4C6A" w:rsidRPr="002D4C6A">
        <w:rPr>
          <w:b/>
        </w:rPr>
        <w:t>Establish mechanisms with adequate funding allocations to provide reparations for victims of sexual violence during the Nepalese Civil War; and,</w:t>
      </w:r>
    </w:p>
    <w:p w:rsidR="00C55713" w:rsidRDefault="00F66841" w:rsidP="00A92BBF">
      <w:pPr>
        <w:pStyle w:val="SingleTxtG"/>
        <w:ind w:firstLine="567"/>
        <w:rPr>
          <w:b/>
        </w:rPr>
      </w:pPr>
      <w:r>
        <w:rPr>
          <w:b/>
        </w:rPr>
        <w:t>(e)</w:t>
      </w:r>
      <w:r>
        <w:rPr>
          <w:b/>
        </w:rPr>
        <w:tab/>
      </w:r>
      <w:r w:rsidR="00A92BBF">
        <w:rPr>
          <w:b/>
        </w:rPr>
        <w:t xml:space="preserve">Develop </w:t>
      </w:r>
      <w:r w:rsidR="00A92BBF" w:rsidRPr="002D4C6A">
        <w:rPr>
          <w:b/>
        </w:rPr>
        <w:t xml:space="preserve">programmes and policies for the prevention, recovery and social reintegration of child victims, in accordance with the outcome documents adopted at the World Congresses against Commercial </w:t>
      </w:r>
      <w:r w:rsidR="00A92BBF">
        <w:rPr>
          <w:b/>
        </w:rPr>
        <w:t>Sexual Exploitation of Children</w:t>
      </w:r>
      <w:r w:rsidR="00C55713">
        <w:rPr>
          <w:b/>
        </w:rPr>
        <w:t>; and,</w:t>
      </w:r>
      <w:r w:rsidR="00A92BBF" w:rsidRPr="002D4C6A" w:rsidDel="00A92BBF">
        <w:rPr>
          <w:b/>
        </w:rPr>
        <w:t xml:space="preserve"> </w:t>
      </w:r>
    </w:p>
    <w:p w:rsidR="00A92BBF" w:rsidRPr="002D4C6A" w:rsidRDefault="002D4C6A" w:rsidP="00A92BBF">
      <w:pPr>
        <w:pStyle w:val="SingleTxtG"/>
        <w:ind w:firstLine="567"/>
        <w:rPr>
          <w:b/>
        </w:rPr>
      </w:pPr>
      <w:r w:rsidRPr="002D4C6A">
        <w:rPr>
          <w:b/>
        </w:rPr>
        <w:t>(f)</w:t>
      </w:r>
      <w:r w:rsidRPr="002D4C6A">
        <w:rPr>
          <w:b/>
        </w:rPr>
        <w:tab/>
      </w:r>
      <w:r w:rsidR="00A92BBF" w:rsidRPr="002D4C6A">
        <w:rPr>
          <w:b/>
        </w:rPr>
        <w:t xml:space="preserve"> Ensure effective reporting and protection mechanisms to prevent forced weddings of victims of rape to their aggressors</w:t>
      </w:r>
      <w:r w:rsidR="00A92BBF">
        <w:rPr>
          <w:b/>
        </w:rPr>
        <w:t>.</w:t>
      </w:r>
    </w:p>
    <w:p w:rsidR="002D4C6A" w:rsidRPr="002D4C6A" w:rsidRDefault="002D4C6A" w:rsidP="00727598">
      <w:pPr>
        <w:pStyle w:val="H23G"/>
        <w:rPr>
          <w:lang w:val="en-US"/>
        </w:rPr>
      </w:pPr>
      <w:r w:rsidRPr="002D4C6A">
        <w:rPr>
          <w:lang w:val="en-US"/>
        </w:rPr>
        <w:tab/>
      </w:r>
      <w:r w:rsidRPr="002D4C6A">
        <w:rPr>
          <w:lang w:val="en-US"/>
        </w:rPr>
        <w:tab/>
        <w:t xml:space="preserve">Gender based violence </w:t>
      </w:r>
    </w:p>
    <w:p w:rsidR="002D4C6A" w:rsidRPr="00F66841" w:rsidRDefault="002D4C6A" w:rsidP="00F66841">
      <w:pPr>
        <w:pStyle w:val="SingleTxtG"/>
        <w:numPr>
          <w:ilvl w:val="0"/>
          <w:numId w:val="36"/>
        </w:numPr>
        <w:ind w:left="1134" w:firstLine="0"/>
        <w:rPr>
          <w:b/>
        </w:rPr>
      </w:pPr>
      <w:r w:rsidRPr="00F66841">
        <w:rPr>
          <w:b/>
        </w:rPr>
        <w:t>The Committee raises attention to Sustainable Development Goal 5, target 5.2 on the elimination of all forms of violence against all women and girls in the public and private spheres, including trafficking and sexual and other types of exploitation, and urges the State party to ensure that allegations of crimes related to gender-based violence are independently and thoroughly investigated and that perpetrators are brought to justice. The State party should provide regular substantive training for judges, lawyers, prosecutors, the police and other relevant professional groups on standardized, gender- and child-sensitive procedures for dealing with victims and on how gender stereotyping by the judiciary negatively affects strict law enforcement.</w:t>
      </w:r>
    </w:p>
    <w:p w:rsidR="002D4C6A" w:rsidRPr="002D4C6A" w:rsidRDefault="002D4C6A" w:rsidP="002D4C6A">
      <w:pPr>
        <w:pStyle w:val="SingleTxtG"/>
        <w:rPr>
          <w:b/>
        </w:rPr>
      </w:pPr>
      <w:r w:rsidRPr="002D4C6A">
        <w:rPr>
          <w:b/>
        </w:rPr>
        <w:t>Harmful practices</w:t>
      </w:r>
    </w:p>
    <w:p w:rsidR="002D4C6A" w:rsidRPr="00F66841" w:rsidRDefault="002D4C6A" w:rsidP="00F66841">
      <w:pPr>
        <w:pStyle w:val="SingleTxtG"/>
        <w:numPr>
          <w:ilvl w:val="0"/>
          <w:numId w:val="36"/>
        </w:numPr>
        <w:ind w:left="1134" w:firstLine="0"/>
      </w:pPr>
      <w:r w:rsidRPr="00F66841">
        <w:t>The Committee welcomes the initiatives taken by the State Party to eradicate harmful practices. However, it remains deeply concerned at the continuing prevalence of such practices, which primarily affect girls and include:</w:t>
      </w:r>
    </w:p>
    <w:p w:rsidR="002D4C6A" w:rsidRPr="002D4C6A" w:rsidRDefault="002D4C6A" w:rsidP="00727598">
      <w:pPr>
        <w:pStyle w:val="SingleTxtG"/>
        <w:ind w:firstLine="567"/>
        <w:rPr>
          <w:lang w:val="en-US"/>
        </w:rPr>
      </w:pPr>
      <w:r w:rsidRPr="002D4C6A">
        <w:rPr>
          <w:lang w:val="en-US"/>
        </w:rPr>
        <w:t>(a)</w:t>
      </w:r>
      <w:r w:rsidRPr="002D4C6A">
        <w:rPr>
          <w:lang w:val="en-US"/>
        </w:rPr>
        <w:tab/>
      </w:r>
      <w:r w:rsidRPr="002D4C6A">
        <w:t xml:space="preserve">The caste system and its related traditional practices such as </w:t>
      </w:r>
      <w:r w:rsidRPr="002D4C6A">
        <w:rPr>
          <w:lang w:val="en-US"/>
        </w:rPr>
        <w:t xml:space="preserve">dowry, bonded </w:t>
      </w:r>
      <w:proofErr w:type="spellStart"/>
      <w:r w:rsidRPr="002D4C6A">
        <w:rPr>
          <w:lang w:val="en-US"/>
        </w:rPr>
        <w:t>labour</w:t>
      </w:r>
      <w:proofErr w:type="spellEnd"/>
      <w:r w:rsidRPr="002D4C6A">
        <w:rPr>
          <w:lang w:val="en-US"/>
        </w:rPr>
        <w:t xml:space="preserve"> including </w:t>
      </w:r>
      <w:proofErr w:type="spellStart"/>
      <w:r w:rsidRPr="002D4C6A">
        <w:rPr>
          <w:i/>
          <w:lang w:val="en-US"/>
        </w:rPr>
        <w:t>Kamalari</w:t>
      </w:r>
      <w:proofErr w:type="spellEnd"/>
      <w:r w:rsidRPr="002D4C6A">
        <w:rPr>
          <w:i/>
          <w:lang w:val="en-US"/>
        </w:rPr>
        <w:t xml:space="preserve">, Kamaya, </w:t>
      </w:r>
      <w:proofErr w:type="spellStart"/>
      <w:r w:rsidRPr="002D4C6A">
        <w:rPr>
          <w:i/>
          <w:lang w:val="en-US"/>
        </w:rPr>
        <w:t>Haliya</w:t>
      </w:r>
      <w:proofErr w:type="spellEnd"/>
      <w:r w:rsidRPr="002D4C6A">
        <w:rPr>
          <w:lang w:val="en-US"/>
        </w:rPr>
        <w:t xml:space="preserve"> and </w:t>
      </w:r>
      <w:proofErr w:type="spellStart"/>
      <w:r w:rsidRPr="002D4C6A">
        <w:rPr>
          <w:i/>
          <w:lang w:val="en-US"/>
        </w:rPr>
        <w:t>Haruwa</w:t>
      </w:r>
      <w:proofErr w:type="spellEnd"/>
      <w:r w:rsidRPr="002D4C6A">
        <w:rPr>
          <w:i/>
          <w:lang w:val="en-US"/>
        </w:rPr>
        <w:t>/</w:t>
      </w:r>
      <w:proofErr w:type="spellStart"/>
      <w:r w:rsidRPr="002D4C6A">
        <w:rPr>
          <w:i/>
          <w:lang w:val="en-US"/>
        </w:rPr>
        <w:t>Charuwa</w:t>
      </w:r>
      <w:proofErr w:type="spellEnd"/>
      <w:r w:rsidRPr="002D4C6A">
        <w:rPr>
          <w:lang w:val="en-US"/>
        </w:rPr>
        <w:t xml:space="preserve">, and sexual exploitation such as </w:t>
      </w:r>
      <w:proofErr w:type="spellStart"/>
      <w:r w:rsidRPr="002D4C6A">
        <w:rPr>
          <w:i/>
          <w:lang w:val="en-US"/>
        </w:rPr>
        <w:t>Badi</w:t>
      </w:r>
      <w:proofErr w:type="spellEnd"/>
      <w:r w:rsidRPr="002D4C6A">
        <w:rPr>
          <w:lang w:val="en-US"/>
        </w:rPr>
        <w:t>;</w:t>
      </w:r>
    </w:p>
    <w:p w:rsidR="002D4C6A" w:rsidRPr="002D4C6A" w:rsidRDefault="002D4C6A" w:rsidP="00727598">
      <w:pPr>
        <w:pStyle w:val="SingleTxtG"/>
        <w:ind w:firstLine="567"/>
      </w:pPr>
      <w:r w:rsidRPr="002D4C6A">
        <w:t>(b)</w:t>
      </w:r>
      <w:r w:rsidRPr="002D4C6A">
        <w:tab/>
        <w:t>Widespread reports of the forced isolation of menstruating women and girls (</w:t>
      </w:r>
      <w:proofErr w:type="spellStart"/>
      <w:r w:rsidRPr="002D4C6A">
        <w:rPr>
          <w:i/>
        </w:rPr>
        <w:t>Chaupadi</w:t>
      </w:r>
      <w:proofErr w:type="spellEnd"/>
      <w:r w:rsidRPr="002D4C6A">
        <w:rPr>
          <w:i/>
        </w:rPr>
        <w:t>)</w:t>
      </w:r>
      <w:r w:rsidRPr="002D4C6A">
        <w:t xml:space="preserve">, which </w:t>
      </w:r>
      <w:r w:rsidRPr="002D4C6A">
        <w:rPr>
          <w:lang w:val="en-US"/>
        </w:rPr>
        <w:t>is particularly harmful in rural areas, exposing girls to heightened risk of sexual violence and health hazards;</w:t>
      </w:r>
    </w:p>
    <w:p w:rsidR="002D4C6A" w:rsidRPr="002D4C6A" w:rsidRDefault="002D4C6A" w:rsidP="00727598">
      <w:pPr>
        <w:pStyle w:val="SingleTxtG"/>
        <w:ind w:firstLine="567"/>
      </w:pPr>
      <w:r w:rsidRPr="002D4C6A">
        <w:t>(c)</w:t>
      </w:r>
      <w:r w:rsidRPr="002D4C6A">
        <w:tab/>
        <w:t>Reports of serious violence related to witchcraft accusations; and,</w:t>
      </w:r>
    </w:p>
    <w:p w:rsidR="002D4C6A" w:rsidRPr="002D4C6A" w:rsidRDefault="002D4C6A" w:rsidP="00727598">
      <w:pPr>
        <w:pStyle w:val="SingleTxtG"/>
        <w:ind w:firstLine="567"/>
      </w:pPr>
      <w:r w:rsidRPr="002D4C6A">
        <w:t>(d)</w:t>
      </w:r>
      <w:r w:rsidRPr="002D4C6A">
        <w:tab/>
      </w:r>
      <w:r w:rsidRPr="002D4C6A">
        <w:rPr>
          <w:lang w:val="en-US"/>
        </w:rPr>
        <w:t xml:space="preserve">The social exclusion that is forced upon girls chosen as </w:t>
      </w:r>
      <w:proofErr w:type="spellStart"/>
      <w:r w:rsidRPr="002D4C6A">
        <w:rPr>
          <w:i/>
          <w:lang w:val="en-US"/>
        </w:rPr>
        <w:t>Kumari</w:t>
      </w:r>
      <w:proofErr w:type="spellEnd"/>
      <w:r w:rsidRPr="002D4C6A">
        <w:rPr>
          <w:lang w:val="en-US"/>
        </w:rPr>
        <w:t>.</w:t>
      </w:r>
    </w:p>
    <w:p w:rsidR="002D4C6A" w:rsidRPr="0087038C" w:rsidRDefault="002D4C6A" w:rsidP="00F66841">
      <w:pPr>
        <w:pStyle w:val="SingleTxtG"/>
        <w:numPr>
          <w:ilvl w:val="0"/>
          <w:numId w:val="36"/>
        </w:numPr>
        <w:ind w:left="1134" w:firstLine="0"/>
        <w:rPr>
          <w:b/>
        </w:rPr>
      </w:pPr>
      <w:r w:rsidRPr="0087038C">
        <w:rPr>
          <w:b/>
        </w:rPr>
        <w:t>In the light of its general comment No. 18 on harmful practices (2014), adopted jointly with the Committee on the Elimination of Discrimination against Women, the Committee reiterates its previous recommendations (CRC/C/15/Add.261, para. 68) and urges the State Party to take all necessary measures to eradicate all traditional practices harmful to the physical and psychological well-being of children, by strengthening awareness-raising programmes and adopting and implementing legislation explicitly prohibiting such practices. It further recommends that in doing so, the State Party prioritize girl</w:t>
      </w:r>
      <w:r w:rsidR="00A92BBF">
        <w:rPr>
          <w:b/>
        </w:rPr>
        <w:t>s</w:t>
      </w:r>
      <w:r w:rsidRPr="0087038C">
        <w:rPr>
          <w:b/>
        </w:rPr>
        <w:t>, particularly girls with disabilities, girls living in rural areas and Dalit girls.</w:t>
      </w:r>
    </w:p>
    <w:p w:rsidR="002D4C6A" w:rsidRPr="002D4C6A" w:rsidRDefault="002D4C6A" w:rsidP="00F66841">
      <w:pPr>
        <w:pStyle w:val="SingleTxtG"/>
        <w:numPr>
          <w:ilvl w:val="0"/>
          <w:numId w:val="36"/>
        </w:numPr>
        <w:ind w:left="1134" w:firstLine="0"/>
      </w:pPr>
      <w:r w:rsidRPr="002D4C6A">
        <w:t xml:space="preserve">The Committee welcomes the </w:t>
      </w:r>
      <w:r w:rsidRPr="00F66841">
        <w:t>explicit prohibition of child marriage in the Constitution, the recently approved strategy to end child marriage and the State party’s leadership in implementing the Regional Action Plan to End Child Marriage in South Asia (2015-2018). However, it</w:t>
      </w:r>
      <w:r w:rsidRPr="002D4C6A">
        <w:t xml:space="preserve"> is deeply concerned that although the State party has set the minimum age for marriage </w:t>
      </w:r>
      <w:r w:rsidRPr="00F66841">
        <w:t>for boys and girls at 20 years,</w:t>
      </w:r>
      <w:r w:rsidRPr="002D4C6A">
        <w:t xml:space="preserve"> child marriage, especially of girls, remains prevalent in the State party. It is also concerned about the possible impact of the 2015 earthquakes on the risk of child marriage for girls. </w:t>
      </w:r>
    </w:p>
    <w:p w:rsidR="002D4C6A" w:rsidRPr="00F66841" w:rsidRDefault="002D4C6A" w:rsidP="00F66841">
      <w:pPr>
        <w:pStyle w:val="SingleTxtG"/>
        <w:numPr>
          <w:ilvl w:val="0"/>
          <w:numId w:val="36"/>
        </w:numPr>
        <w:ind w:left="1134" w:firstLine="0"/>
        <w:rPr>
          <w:b/>
        </w:rPr>
      </w:pPr>
      <w:r w:rsidRPr="00F66841">
        <w:rPr>
          <w:b/>
        </w:rPr>
        <w:t xml:space="preserve">The Committee urges the State party to ensure that the minimum age of marriage set in the Constitution is applied. It also recommends that the State party: </w:t>
      </w:r>
    </w:p>
    <w:p w:rsidR="002D4C6A" w:rsidRPr="00F66841" w:rsidRDefault="002D4C6A" w:rsidP="00F66841">
      <w:pPr>
        <w:pStyle w:val="SingleTxtG"/>
        <w:ind w:firstLine="567"/>
        <w:rPr>
          <w:b/>
          <w:bCs/>
        </w:rPr>
      </w:pPr>
      <w:r w:rsidRPr="00F66841">
        <w:rPr>
          <w:b/>
          <w:bCs/>
        </w:rPr>
        <w:t>(a)</w:t>
      </w:r>
      <w:r w:rsidRPr="00F66841">
        <w:rPr>
          <w:b/>
          <w:bCs/>
        </w:rPr>
        <w:tab/>
        <w:t xml:space="preserve">Review allegedly contradictory legal provisions in the draft Penal and Civil codes to ensure that child marriages can be rendered void if it is in the best interests of the </w:t>
      </w:r>
      <w:proofErr w:type="gramStart"/>
      <w:r w:rsidRPr="00F66841">
        <w:rPr>
          <w:b/>
          <w:bCs/>
        </w:rPr>
        <w:t>child(</w:t>
      </w:r>
      <w:proofErr w:type="spellStart"/>
      <w:proofErr w:type="gramEnd"/>
      <w:r w:rsidRPr="00F66841">
        <w:rPr>
          <w:b/>
          <w:bCs/>
        </w:rPr>
        <w:t>ren</w:t>
      </w:r>
      <w:proofErr w:type="spellEnd"/>
      <w:r w:rsidRPr="00F66841">
        <w:rPr>
          <w:b/>
          <w:bCs/>
        </w:rPr>
        <w:t>) concerned;</w:t>
      </w:r>
    </w:p>
    <w:p w:rsidR="002D4C6A" w:rsidRPr="00F66841" w:rsidRDefault="002D4C6A" w:rsidP="00F66841">
      <w:pPr>
        <w:pStyle w:val="SingleTxtG"/>
        <w:ind w:firstLine="567"/>
        <w:rPr>
          <w:b/>
          <w:bCs/>
        </w:rPr>
      </w:pPr>
      <w:r w:rsidRPr="00F66841">
        <w:rPr>
          <w:b/>
          <w:bCs/>
        </w:rPr>
        <w:t>(b)</w:t>
      </w:r>
      <w:r w:rsidRPr="00F66841">
        <w:rPr>
          <w:b/>
          <w:bCs/>
        </w:rPr>
        <w:tab/>
        <w:t xml:space="preserve">Develop awareness-raising campaigns and programmes on the harmful effects of early marriage on the physical and mental health and well-being of girls, </w:t>
      </w:r>
      <w:r w:rsidRPr="00F66841">
        <w:rPr>
          <w:b/>
          <w:bCs/>
          <w:lang w:val="en-US"/>
        </w:rPr>
        <w:t xml:space="preserve">as ordered by the Supreme Court of Nepal in the case </w:t>
      </w:r>
      <w:proofErr w:type="spellStart"/>
      <w:r w:rsidRPr="00F66841">
        <w:rPr>
          <w:b/>
          <w:bCs/>
          <w:i/>
          <w:lang w:val="en-US"/>
        </w:rPr>
        <w:t>Sapana</w:t>
      </w:r>
      <w:proofErr w:type="spellEnd"/>
      <w:r w:rsidRPr="00F66841">
        <w:rPr>
          <w:b/>
          <w:bCs/>
          <w:i/>
          <w:lang w:val="en-US"/>
        </w:rPr>
        <w:t xml:space="preserve"> Pradhan </w:t>
      </w:r>
      <w:proofErr w:type="spellStart"/>
      <w:r w:rsidRPr="00F66841">
        <w:rPr>
          <w:b/>
          <w:bCs/>
          <w:i/>
          <w:lang w:val="en-US"/>
        </w:rPr>
        <w:t>Malla</w:t>
      </w:r>
      <w:proofErr w:type="spellEnd"/>
      <w:r w:rsidRPr="00F66841">
        <w:rPr>
          <w:b/>
          <w:bCs/>
          <w:i/>
          <w:lang w:val="en-US"/>
        </w:rPr>
        <w:t xml:space="preserve"> and others v. Government of Nepal</w:t>
      </w:r>
      <w:r w:rsidRPr="00F66841">
        <w:rPr>
          <w:b/>
          <w:bCs/>
          <w:lang w:val="en-US"/>
        </w:rPr>
        <w:t xml:space="preserve"> of 2006,</w:t>
      </w:r>
      <w:r w:rsidRPr="00F66841">
        <w:rPr>
          <w:b/>
          <w:bCs/>
        </w:rPr>
        <w:t xml:space="preserve"> targeting households, local au</w:t>
      </w:r>
      <w:r w:rsidR="004C2B84">
        <w:rPr>
          <w:b/>
          <w:bCs/>
        </w:rPr>
        <w:t>thorities, religious leaders,</w:t>
      </w:r>
      <w:r w:rsidRPr="00F66841">
        <w:rPr>
          <w:b/>
          <w:bCs/>
        </w:rPr>
        <w:t xml:space="preserve"> judges and prosecutors; </w:t>
      </w:r>
    </w:p>
    <w:p w:rsidR="002D4C6A" w:rsidRPr="00F66841" w:rsidRDefault="002D4C6A" w:rsidP="00F66841">
      <w:pPr>
        <w:pStyle w:val="SingleTxtG"/>
        <w:ind w:firstLine="567"/>
        <w:rPr>
          <w:b/>
        </w:rPr>
      </w:pPr>
      <w:r w:rsidRPr="00F66841">
        <w:rPr>
          <w:b/>
        </w:rPr>
        <w:t>(c)</w:t>
      </w:r>
      <w:r w:rsidRPr="00F66841">
        <w:rPr>
          <w:b/>
        </w:rPr>
        <w:tab/>
      </w:r>
      <w:r w:rsidRPr="00F66841">
        <w:rPr>
          <w:b/>
          <w:bCs/>
        </w:rPr>
        <w:t>Establish protection and support schemes for children wishing to void their marriage, particularly those who file a complaint; and,</w:t>
      </w:r>
    </w:p>
    <w:p w:rsidR="002D4C6A" w:rsidRPr="00F66841" w:rsidRDefault="002D4C6A" w:rsidP="00F66841">
      <w:pPr>
        <w:pStyle w:val="SingleTxtG"/>
        <w:ind w:firstLine="567"/>
        <w:rPr>
          <w:b/>
        </w:rPr>
      </w:pPr>
      <w:r w:rsidRPr="00F66841">
        <w:rPr>
          <w:b/>
        </w:rPr>
        <w:t>(d)</w:t>
      </w:r>
      <w:r w:rsidRPr="00F66841">
        <w:rPr>
          <w:b/>
        </w:rPr>
        <w:tab/>
      </w:r>
      <w:r w:rsidRPr="00F66841">
        <w:rPr>
          <w:b/>
          <w:bCs/>
        </w:rPr>
        <w:t>Undertake an assessment of the impact of the 2015 earthquakes on girls’ vulnerability to child marriage and apply those findings to guide the implementation of measures to address the increased risk of child marriages.</w:t>
      </w:r>
    </w:p>
    <w:p w:rsidR="002D4C6A" w:rsidRPr="00F66841" w:rsidRDefault="002D4C6A" w:rsidP="00F66841">
      <w:pPr>
        <w:pStyle w:val="SingleTxtG"/>
        <w:numPr>
          <w:ilvl w:val="0"/>
          <w:numId w:val="36"/>
        </w:numPr>
        <w:ind w:left="1134" w:firstLine="0"/>
      </w:pPr>
      <w:r w:rsidRPr="00F66841">
        <w:t>The Committee welcomes the positive steps taken by the State party towards the recognition of lesbian, gay, bisexual, transgender and intersex (LGBTI) rights, including the reference to of “gender and sexual minority” in the discrimination grounds prohibited under article 18 of the new Constitution (right to equality) and the recent addition to identity documents of a third gender category recogniz</w:t>
      </w:r>
      <w:r w:rsidR="004C2B84">
        <w:t>ing genders other than “male” and</w:t>
      </w:r>
      <w:r w:rsidRPr="00F66841">
        <w:t xml:space="preserve"> “female.”  However, the Committee remains concerned about:</w:t>
      </w:r>
    </w:p>
    <w:p w:rsidR="002D4C6A" w:rsidRPr="002D4C6A" w:rsidRDefault="002D4C6A" w:rsidP="008B663D">
      <w:pPr>
        <w:pStyle w:val="SingleTxtG"/>
        <w:ind w:firstLine="567"/>
      </w:pPr>
      <w:r w:rsidRPr="002D4C6A">
        <w:t>(a)</w:t>
      </w:r>
      <w:r w:rsidRPr="002D4C6A">
        <w:tab/>
        <w:t xml:space="preserve">The lack of awareness of issues </w:t>
      </w:r>
      <w:r w:rsidR="006155CF">
        <w:t xml:space="preserve">related to </w:t>
      </w:r>
      <w:r w:rsidR="006155CF" w:rsidRPr="002D4C6A">
        <w:t xml:space="preserve">intersex </w:t>
      </w:r>
      <w:r w:rsidR="006155CF">
        <w:t xml:space="preserve">children </w:t>
      </w:r>
      <w:r w:rsidRPr="002D4C6A">
        <w:t>in Nepal and the high levels of stigma and discrimination faced by intersex children;</w:t>
      </w:r>
    </w:p>
    <w:p w:rsidR="002D4C6A" w:rsidRPr="002D4C6A" w:rsidRDefault="002D4C6A" w:rsidP="008B663D">
      <w:pPr>
        <w:pStyle w:val="SingleTxtG"/>
        <w:ind w:firstLine="567"/>
      </w:pPr>
      <w:r w:rsidRPr="002D4C6A">
        <w:t>(b)</w:t>
      </w:r>
      <w:r w:rsidRPr="002D4C6A">
        <w:tab/>
        <w:t>The challenges faced by intersex children to access identity documents that correspond with the sex/gender identity of their choosing; and,</w:t>
      </w:r>
    </w:p>
    <w:p w:rsidR="002D4C6A" w:rsidRPr="002D4C6A" w:rsidRDefault="002D4C6A" w:rsidP="008B663D">
      <w:pPr>
        <w:pStyle w:val="SingleTxtG"/>
        <w:ind w:firstLine="567"/>
      </w:pPr>
      <w:r w:rsidRPr="002D4C6A">
        <w:t>(c)</w:t>
      </w:r>
      <w:r w:rsidRPr="002D4C6A">
        <w:tab/>
        <w:t>Cases of medically unnecessary surgeries and other procedures on intersex children before they are able to provide their informed consent, which often entail irreversible consequences and can cause severe physical and psychological suffering, and the lack of redress and compensation in such cases.</w:t>
      </w:r>
    </w:p>
    <w:p w:rsidR="002D4C6A" w:rsidRPr="008B663D" w:rsidRDefault="002D4C6A" w:rsidP="008B663D">
      <w:pPr>
        <w:pStyle w:val="SingleTxtG"/>
        <w:numPr>
          <w:ilvl w:val="0"/>
          <w:numId w:val="36"/>
        </w:numPr>
        <w:ind w:left="1134" w:firstLine="0"/>
        <w:rPr>
          <w:b/>
        </w:rPr>
      </w:pPr>
      <w:r w:rsidRPr="008B663D">
        <w:rPr>
          <w:b/>
        </w:rPr>
        <w:t xml:space="preserve">The Committee recommends that the State party: </w:t>
      </w:r>
    </w:p>
    <w:p w:rsidR="002D4C6A" w:rsidRPr="002D4C6A" w:rsidRDefault="002D4C6A" w:rsidP="008B663D">
      <w:pPr>
        <w:pStyle w:val="SingleTxtG"/>
        <w:ind w:firstLine="567"/>
        <w:rPr>
          <w:b/>
        </w:rPr>
      </w:pPr>
      <w:r w:rsidRPr="002D4C6A">
        <w:rPr>
          <w:b/>
        </w:rPr>
        <w:t>(a)</w:t>
      </w:r>
      <w:r w:rsidR="008B663D">
        <w:rPr>
          <w:b/>
        </w:rPr>
        <w:tab/>
      </w:r>
      <w:r w:rsidRPr="002D4C6A">
        <w:rPr>
          <w:b/>
        </w:rPr>
        <w:t>Conduct awareness-raising campaigns to combat stigma and discrimination against intersex children;</w:t>
      </w:r>
    </w:p>
    <w:p w:rsidR="002D4C6A" w:rsidRPr="002D4C6A" w:rsidRDefault="002D4C6A" w:rsidP="008B663D">
      <w:pPr>
        <w:pStyle w:val="SingleTxtG"/>
        <w:ind w:firstLine="567"/>
        <w:rPr>
          <w:b/>
        </w:rPr>
      </w:pPr>
      <w:r w:rsidRPr="002D4C6A">
        <w:rPr>
          <w:b/>
        </w:rPr>
        <w:t>(b)</w:t>
      </w:r>
      <w:r w:rsidR="008B663D">
        <w:rPr>
          <w:b/>
        </w:rPr>
        <w:tab/>
      </w:r>
      <w:r w:rsidRPr="002D4C6A">
        <w:rPr>
          <w:b/>
        </w:rPr>
        <w:t>Ensure that intersex children have access to identity documents that correspond with the sex/gender identity of their choosing;</w:t>
      </w:r>
    </w:p>
    <w:p w:rsidR="002D4C6A" w:rsidRPr="002D4C6A" w:rsidRDefault="002D4C6A" w:rsidP="008B663D">
      <w:pPr>
        <w:pStyle w:val="SingleTxtG"/>
        <w:ind w:firstLine="567"/>
        <w:rPr>
          <w:b/>
        </w:rPr>
      </w:pPr>
      <w:r w:rsidRPr="002D4C6A">
        <w:rPr>
          <w:b/>
        </w:rPr>
        <w:t>(c)</w:t>
      </w:r>
      <w:r w:rsidR="008B663D">
        <w:rPr>
          <w:b/>
        </w:rPr>
        <w:tab/>
      </w:r>
      <w:r w:rsidRPr="002D4C6A">
        <w:rPr>
          <w:b/>
          <w:bCs/>
        </w:rPr>
        <w:t xml:space="preserve">Ensure that no child is subjected to unnecessary medical or surgical treatment, guarantee bodily integrity, autonomy and self-determination to children concerned, and provide families with intersex children with adequate counselling and support; </w:t>
      </w:r>
    </w:p>
    <w:p w:rsidR="002D4C6A" w:rsidRPr="002D4C6A" w:rsidRDefault="008B663D" w:rsidP="008B663D">
      <w:pPr>
        <w:pStyle w:val="SingleTxtG"/>
        <w:ind w:firstLine="567"/>
        <w:rPr>
          <w:b/>
        </w:rPr>
      </w:pPr>
      <w:r>
        <w:rPr>
          <w:b/>
        </w:rPr>
        <w:t>(d)</w:t>
      </w:r>
      <w:r>
        <w:rPr>
          <w:b/>
        </w:rPr>
        <w:tab/>
      </w:r>
      <w:r w:rsidR="002D4C6A" w:rsidRPr="002D4C6A">
        <w:rPr>
          <w:b/>
          <w:bCs/>
        </w:rPr>
        <w:t>Undertake investigation of incidents of surgical and other medical treatment of intersex children without informed consent and adopt legal provisions in order to provide redress to the victims of such treatment, including reparation and/or adequate compensation; and,</w:t>
      </w:r>
    </w:p>
    <w:p w:rsidR="002D4C6A" w:rsidRPr="002D4C6A" w:rsidRDefault="008B663D" w:rsidP="008B663D">
      <w:pPr>
        <w:pStyle w:val="SingleTxtG"/>
        <w:ind w:firstLine="567"/>
        <w:rPr>
          <w:b/>
          <w:bCs/>
        </w:rPr>
      </w:pPr>
      <w:r>
        <w:rPr>
          <w:b/>
        </w:rPr>
        <w:t>(e)</w:t>
      </w:r>
      <w:r>
        <w:rPr>
          <w:b/>
        </w:rPr>
        <w:tab/>
      </w:r>
      <w:r w:rsidR="002D4C6A" w:rsidRPr="002D4C6A">
        <w:rPr>
          <w:b/>
          <w:bCs/>
        </w:rPr>
        <w:t xml:space="preserve">Educate and train medical and psychological professionals on the range of </w:t>
      </w:r>
      <w:proofErr w:type="gramStart"/>
      <w:r w:rsidR="002D4C6A" w:rsidRPr="002D4C6A">
        <w:rPr>
          <w:b/>
          <w:bCs/>
        </w:rPr>
        <w:t>sexual,</w:t>
      </w:r>
      <w:proofErr w:type="gramEnd"/>
      <w:r w:rsidR="002D4C6A" w:rsidRPr="002D4C6A">
        <w:rPr>
          <w:b/>
          <w:bCs/>
        </w:rPr>
        <w:t xml:space="preserve"> and related biological and physical, diversity and on the consequences of unnecessary surgical and other medical interventions for intersex children.</w:t>
      </w:r>
    </w:p>
    <w:p w:rsidR="002D4C6A" w:rsidRPr="002D4C6A" w:rsidRDefault="0068384C" w:rsidP="0068384C">
      <w:pPr>
        <w:pStyle w:val="H1G"/>
      </w:pPr>
      <w:r>
        <w:tab/>
      </w:r>
      <w:r w:rsidR="002D4C6A" w:rsidRPr="002D4C6A">
        <w:t>E.</w:t>
      </w:r>
      <w:r w:rsidR="002D4C6A" w:rsidRPr="002D4C6A">
        <w:tab/>
        <w:t>Family environment and alternative care (arts. 5, 9-11, 18 (paras. 1 and 2), 20-21, 25 and 27 (para. 4))</w:t>
      </w:r>
    </w:p>
    <w:p w:rsidR="002D4C6A" w:rsidRPr="002D4C6A" w:rsidRDefault="00727598" w:rsidP="00727598">
      <w:pPr>
        <w:pStyle w:val="H23G"/>
      </w:pPr>
      <w:r>
        <w:tab/>
      </w:r>
      <w:r>
        <w:tab/>
      </w:r>
      <w:r w:rsidR="002D4C6A" w:rsidRPr="002D4C6A">
        <w:t xml:space="preserve">Children deprived of a family environment </w:t>
      </w:r>
    </w:p>
    <w:p w:rsidR="002D4C6A" w:rsidRPr="0068384C" w:rsidRDefault="002D4C6A" w:rsidP="0068384C">
      <w:pPr>
        <w:pStyle w:val="SingleTxtG"/>
        <w:numPr>
          <w:ilvl w:val="0"/>
          <w:numId w:val="36"/>
        </w:numPr>
        <w:ind w:left="1134" w:firstLine="0"/>
      </w:pPr>
      <w:r w:rsidRPr="0068384C">
        <w:t>The Committee notes that the State party is in the process of considering draft Procedural Guidelines on Alternative Care Regulation and that it has a draft policy on the regulation of foster care. However, the Committee is concerned about:</w:t>
      </w:r>
    </w:p>
    <w:p w:rsidR="002D4C6A" w:rsidRPr="002D4C6A" w:rsidRDefault="002D4C6A" w:rsidP="0068384C">
      <w:pPr>
        <w:pStyle w:val="SingleTxtG"/>
        <w:ind w:firstLine="567"/>
      </w:pPr>
      <w:r w:rsidRPr="002D4C6A">
        <w:t>(a)</w:t>
      </w:r>
      <w:r w:rsidRPr="002D4C6A">
        <w:tab/>
        <w:t>The continued absence of a legal framework for alternative care and foster care;</w:t>
      </w:r>
    </w:p>
    <w:p w:rsidR="002D4C6A" w:rsidRPr="002D4C6A" w:rsidRDefault="002D4C6A" w:rsidP="0068384C">
      <w:pPr>
        <w:pStyle w:val="SingleTxtG"/>
        <w:ind w:firstLine="567"/>
      </w:pPr>
      <w:r w:rsidRPr="002D4C6A">
        <w:t>(b)</w:t>
      </w:r>
      <w:r w:rsidR="0068384C">
        <w:tab/>
      </w:r>
      <w:r w:rsidRPr="002D4C6A">
        <w:t>The unnecessary placement of children in residential care resulting from the absence of an assessment system based on necessity and appropriateness; and,</w:t>
      </w:r>
    </w:p>
    <w:p w:rsidR="002D4C6A" w:rsidRPr="002D4C6A" w:rsidRDefault="002D4C6A" w:rsidP="0068384C">
      <w:pPr>
        <w:pStyle w:val="SingleTxtG"/>
        <w:ind w:firstLine="567"/>
        <w:rPr>
          <w:lang w:val="en-US"/>
        </w:rPr>
      </w:pPr>
      <w:r w:rsidRPr="002D4C6A">
        <w:rPr>
          <w:lang w:val="en-US"/>
        </w:rPr>
        <w:t>(c)</w:t>
      </w:r>
      <w:r w:rsidR="0068384C">
        <w:rPr>
          <w:lang w:val="en-US"/>
        </w:rPr>
        <w:tab/>
      </w:r>
      <w:r w:rsidRPr="002D4C6A">
        <w:rPr>
          <w:lang w:val="en-US"/>
        </w:rPr>
        <w:t>The lack of government oversight of private institutions, which often do not comply with the minimum standards, and the inadequate qualification of personnel.</w:t>
      </w:r>
    </w:p>
    <w:p w:rsidR="002D4C6A" w:rsidRPr="0068384C" w:rsidRDefault="002D4C6A" w:rsidP="0068384C">
      <w:pPr>
        <w:pStyle w:val="SingleTxtG"/>
        <w:numPr>
          <w:ilvl w:val="0"/>
          <w:numId w:val="36"/>
        </w:numPr>
        <w:ind w:left="1134" w:firstLine="0"/>
        <w:rPr>
          <w:b/>
        </w:rPr>
      </w:pPr>
      <w:r w:rsidRPr="0068384C">
        <w:rPr>
          <w:b/>
        </w:rPr>
        <w:t>Drawing the State party’s attention to the Guidelines for the Alternative Care of children (General Assembly resolution 64/142, annex), the Committee emphasizes that financial and material poverty should never be the sole justification for removing a child from parental care, for receiving a child into alternative care or for preventing a child’s social reintegration. In this regard, the Committee recommends that the State party:</w:t>
      </w:r>
    </w:p>
    <w:p w:rsidR="002D4C6A" w:rsidRPr="002D4C6A" w:rsidRDefault="002D4C6A" w:rsidP="0068384C">
      <w:pPr>
        <w:pStyle w:val="SingleTxtG"/>
        <w:ind w:firstLine="567"/>
        <w:rPr>
          <w:b/>
        </w:rPr>
      </w:pPr>
      <w:r w:rsidRPr="002D4C6A">
        <w:rPr>
          <w:b/>
        </w:rPr>
        <w:t>(a)</w:t>
      </w:r>
      <w:r w:rsidRPr="002D4C6A">
        <w:rPr>
          <w:b/>
        </w:rPr>
        <w:tab/>
        <w:t>Expeditiously pass legislation</w:t>
      </w:r>
      <w:r w:rsidR="004C2B84">
        <w:rPr>
          <w:b/>
        </w:rPr>
        <w:t xml:space="preserve"> </w:t>
      </w:r>
      <w:r w:rsidR="004C2B84" w:rsidRPr="002D4C6A">
        <w:rPr>
          <w:b/>
        </w:rPr>
        <w:t xml:space="preserve">that is in compliance with the Convention </w:t>
      </w:r>
      <w:r w:rsidRPr="002D4C6A">
        <w:rPr>
          <w:b/>
        </w:rPr>
        <w:t>for the regulation of alternative care and foster care;</w:t>
      </w:r>
    </w:p>
    <w:p w:rsidR="0068384C" w:rsidRDefault="002D4C6A" w:rsidP="0068384C">
      <w:pPr>
        <w:pStyle w:val="SingleTxtG"/>
        <w:ind w:firstLine="567"/>
        <w:rPr>
          <w:b/>
        </w:rPr>
      </w:pPr>
      <w:r w:rsidRPr="002D4C6A">
        <w:rPr>
          <w:b/>
        </w:rPr>
        <w:t>(b)</w:t>
      </w:r>
      <w:r w:rsidRPr="002D4C6A">
        <w:rPr>
          <w:b/>
        </w:rPr>
        <w:tab/>
        <w:t xml:space="preserve">Support and facilitate family-based care for children wherever possible, including for children in single-parent families, and establish a system of foster care for children who cannot stay with their families, with a view to reducing the institutionalization of children; </w:t>
      </w:r>
    </w:p>
    <w:p w:rsidR="002D4C6A" w:rsidRPr="002D4C6A" w:rsidRDefault="002D4C6A" w:rsidP="0068384C">
      <w:pPr>
        <w:pStyle w:val="SingleTxtG"/>
        <w:ind w:firstLine="567"/>
        <w:rPr>
          <w:b/>
        </w:rPr>
      </w:pPr>
      <w:r w:rsidRPr="002D4C6A">
        <w:rPr>
          <w:b/>
        </w:rPr>
        <w:t>(c)</w:t>
      </w:r>
      <w:r w:rsidR="0068384C">
        <w:rPr>
          <w:b/>
        </w:rPr>
        <w:tab/>
      </w:r>
      <w:r w:rsidR="00527AE2">
        <w:rPr>
          <w:b/>
        </w:rPr>
        <w:t>W</w:t>
      </w:r>
      <w:r w:rsidRPr="002D4C6A">
        <w:rPr>
          <w:b/>
        </w:rPr>
        <w:t>hen alternative care cannot be avoided, ensure adequate safeguards and clear criteria, based on the needs as well as best interests of the child, for determining whether a child should be placed in such care;</w:t>
      </w:r>
    </w:p>
    <w:p w:rsidR="002D4C6A" w:rsidRPr="002D4C6A" w:rsidRDefault="002D4C6A" w:rsidP="0068384C">
      <w:pPr>
        <w:pStyle w:val="SingleTxtG"/>
        <w:ind w:firstLine="567"/>
        <w:rPr>
          <w:b/>
        </w:rPr>
      </w:pPr>
      <w:r w:rsidRPr="002D4C6A">
        <w:rPr>
          <w:b/>
        </w:rPr>
        <w:t>(d)</w:t>
      </w:r>
      <w:r w:rsidR="0068384C">
        <w:rPr>
          <w:b/>
        </w:rPr>
        <w:tab/>
      </w:r>
      <w:r w:rsidRPr="002D4C6A">
        <w:rPr>
          <w:b/>
        </w:rPr>
        <w:t>Ensure periodic review of the placement of children in foster care and institutions, and monitor the quality of care therein, including by providing accessible channels for reporting, monitoring and remedying maltreatment of children; and,</w:t>
      </w:r>
    </w:p>
    <w:p w:rsidR="002D4C6A" w:rsidRPr="002D4C6A" w:rsidRDefault="002D4C6A" w:rsidP="0068384C">
      <w:pPr>
        <w:pStyle w:val="SingleTxtG"/>
        <w:ind w:firstLine="567"/>
        <w:rPr>
          <w:b/>
        </w:rPr>
      </w:pPr>
      <w:r w:rsidRPr="002D4C6A">
        <w:rPr>
          <w:b/>
        </w:rPr>
        <w:t>(e)</w:t>
      </w:r>
      <w:r w:rsidR="0068384C">
        <w:rPr>
          <w:b/>
        </w:rPr>
        <w:tab/>
      </w:r>
      <w:r w:rsidRPr="002D4C6A">
        <w:rPr>
          <w:b/>
        </w:rPr>
        <w:t xml:space="preserve">Ensure that adequate human, technical and financial resources are allocated to alternative care centres and relevant child protection services, in order to facilitate the rehabilitation and social reintegration of children resident therein to the greatest extent possible. </w:t>
      </w:r>
    </w:p>
    <w:p w:rsidR="002D4C6A" w:rsidRPr="002D4C6A" w:rsidRDefault="002D4C6A" w:rsidP="00727598">
      <w:pPr>
        <w:pStyle w:val="H23G"/>
      </w:pPr>
      <w:r w:rsidRPr="002D4C6A">
        <w:tab/>
      </w:r>
      <w:r w:rsidRPr="002D4C6A">
        <w:tab/>
        <w:t xml:space="preserve">Adoption </w:t>
      </w:r>
    </w:p>
    <w:p w:rsidR="002D4C6A" w:rsidRPr="0068384C" w:rsidRDefault="002D4C6A" w:rsidP="0068384C">
      <w:pPr>
        <w:pStyle w:val="SingleTxtG"/>
        <w:numPr>
          <w:ilvl w:val="0"/>
          <w:numId w:val="36"/>
        </w:numPr>
        <w:ind w:left="1134" w:firstLine="0"/>
        <w:rPr>
          <w:b/>
        </w:rPr>
      </w:pPr>
      <w:r w:rsidRPr="002D4C6A">
        <w:rPr>
          <w:b/>
        </w:rPr>
        <w:t>The Committee recalls its previous recommendation (CRC/C/15/Add.261, para. 54) for</w:t>
      </w:r>
      <w:r w:rsidRPr="0068384C">
        <w:rPr>
          <w:b/>
        </w:rPr>
        <w:t xml:space="preserve"> the State party to develop and implement policies and legal provisions regarding </w:t>
      </w:r>
      <w:proofErr w:type="spellStart"/>
      <w:r w:rsidRPr="0068384C">
        <w:rPr>
          <w:b/>
        </w:rPr>
        <w:t>intercountry</w:t>
      </w:r>
      <w:proofErr w:type="spellEnd"/>
      <w:r w:rsidRPr="0068384C">
        <w:rPr>
          <w:b/>
        </w:rPr>
        <w:t xml:space="preserve"> adoption.  In this regard, the Committee recommends that the State party, in particular:</w:t>
      </w:r>
    </w:p>
    <w:p w:rsidR="002D4C6A" w:rsidRPr="002D4C6A" w:rsidRDefault="002D4C6A" w:rsidP="0068384C">
      <w:pPr>
        <w:pStyle w:val="SingleTxtG"/>
        <w:ind w:firstLine="567"/>
        <w:rPr>
          <w:b/>
          <w:bCs/>
        </w:rPr>
      </w:pPr>
      <w:r w:rsidRPr="002D4C6A">
        <w:rPr>
          <w:b/>
          <w:bCs/>
        </w:rPr>
        <w:t>(a)</w:t>
      </w:r>
      <w:r w:rsidRPr="002D4C6A">
        <w:rPr>
          <w:b/>
          <w:bCs/>
        </w:rPr>
        <w:tab/>
        <w:t>Develop and implement strict criteria for the adoption of Nepalese children, ensuring in particular that reasonable time is given for an effective tracing of the parents or close relatives of children separated from them as a result of the 2015 earthquake, and abolish the provision stating that poverty of the parents of a child can be a legal ground for adoption;</w:t>
      </w:r>
    </w:p>
    <w:p w:rsidR="002D4C6A" w:rsidRPr="002D4C6A" w:rsidRDefault="002D4C6A" w:rsidP="0068384C">
      <w:pPr>
        <w:pStyle w:val="SingleTxtG"/>
        <w:ind w:firstLine="567"/>
        <w:rPr>
          <w:b/>
          <w:bCs/>
        </w:rPr>
      </w:pPr>
      <w:r w:rsidRPr="002D4C6A">
        <w:rPr>
          <w:b/>
          <w:bCs/>
        </w:rPr>
        <w:t>(b)</w:t>
      </w:r>
      <w:r w:rsidRPr="002D4C6A">
        <w:rPr>
          <w:b/>
          <w:bCs/>
        </w:rPr>
        <w:tab/>
        <w:t>Ensure that exhaustion of all means to prevent termination of parental responsibility and/or separation of the child is set as a clear criterion in all cases involving adoption;</w:t>
      </w:r>
    </w:p>
    <w:p w:rsidR="002D4C6A" w:rsidRPr="002D4C6A" w:rsidRDefault="002D4C6A" w:rsidP="0068384C">
      <w:pPr>
        <w:pStyle w:val="SingleTxtG"/>
        <w:ind w:firstLine="567"/>
        <w:rPr>
          <w:b/>
        </w:rPr>
      </w:pPr>
      <w:r w:rsidRPr="002D4C6A">
        <w:rPr>
          <w:b/>
          <w:lang w:val="x-none"/>
        </w:rPr>
        <w:t>(</w:t>
      </w:r>
      <w:r w:rsidRPr="002D4C6A">
        <w:rPr>
          <w:b/>
        </w:rPr>
        <w:t>c</w:t>
      </w:r>
      <w:r w:rsidRPr="002D4C6A">
        <w:rPr>
          <w:b/>
          <w:lang w:val="x-none"/>
        </w:rPr>
        <w:t>)</w:t>
      </w:r>
      <w:r w:rsidRPr="002D4C6A">
        <w:rPr>
          <w:b/>
          <w:lang w:val="x-none"/>
        </w:rPr>
        <w:tab/>
        <w:t>Regulate and monitor the practice of placing children with close relatives or others</w:t>
      </w:r>
      <w:r w:rsidRPr="002D4C6A">
        <w:rPr>
          <w:b/>
        </w:rPr>
        <w:t xml:space="preserve"> </w:t>
      </w:r>
      <w:r w:rsidRPr="002D4C6A">
        <w:rPr>
          <w:b/>
          <w:lang w:val="x-none"/>
        </w:rPr>
        <w:t>to ensure that all their rights, including the right to education and to health care</w:t>
      </w:r>
      <w:r w:rsidR="00527AE2" w:rsidRPr="0087038C">
        <w:rPr>
          <w:b/>
        </w:rPr>
        <w:t>,</w:t>
      </w:r>
      <w:r w:rsidRPr="002D4C6A">
        <w:rPr>
          <w:b/>
          <w:lang w:val="x-none"/>
        </w:rPr>
        <w:t xml:space="preserve"> are fully respected </w:t>
      </w:r>
      <w:r w:rsidRPr="002D4C6A">
        <w:rPr>
          <w:b/>
        </w:rPr>
        <w:t>;</w:t>
      </w:r>
    </w:p>
    <w:p w:rsidR="002D4C6A" w:rsidRPr="002D4C6A" w:rsidRDefault="002D4C6A" w:rsidP="0068384C">
      <w:pPr>
        <w:pStyle w:val="SingleTxtG"/>
        <w:ind w:firstLine="567"/>
        <w:rPr>
          <w:b/>
          <w:bCs/>
        </w:rPr>
      </w:pPr>
      <w:r w:rsidRPr="002D4C6A">
        <w:rPr>
          <w:b/>
          <w:bCs/>
        </w:rPr>
        <w:t>(d)</w:t>
      </w:r>
      <w:r w:rsidRPr="002D4C6A">
        <w:rPr>
          <w:b/>
          <w:bCs/>
        </w:rPr>
        <w:tab/>
        <w:t>Review the current mechanisms and procedures for domestic and inter</w:t>
      </w:r>
      <w:r w:rsidR="00527AE2">
        <w:rPr>
          <w:b/>
          <w:bCs/>
        </w:rPr>
        <w:t>-</w:t>
      </w:r>
      <w:r w:rsidRPr="002D4C6A">
        <w:rPr>
          <w:b/>
          <w:bCs/>
        </w:rPr>
        <w:t>country adoption, particularly the role and responsibilities of the national and district level decision-making bodies with a view to ensuring that professionals responsible for adoption cases are fully equipped with the expertise needed to review and process adoption cases; and,</w:t>
      </w:r>
    </w:p>
    <w:p w:rsidR="002D4C6A" w:rsidRPr="002D4C6A" w:rsidRDefault="002D4C6A" w:rsidP="0068384C">
      <w:pPr>
        <w:pStyle w:val="SingleTxtG"/>
        <w:ind w:firstLine="567"/>
        <w:rPr>
          <w:b/>
          <w:bCs/>
        </w:rPr>
      </w:pPr>
      <w:r w:rsidRPr="002D4C6A">
        <w:rPr>
          <w:b/>
          <w:bCs/>
        </w:rPr>
        <w:t>(e)</w:t>
      </w:r>
      <w:r w:rsidRPr="002D4C6A">
        <w:rPr>
          <w:b/>
          <w:bCs/>
        </w:rPr>
        <w:tab/>
        <w:t xml:space="preserve">Consider ratifying the Hague Convention on Protection of Children and Cooperation in Respect of </w:t>
      </w:r>
      <w:proofErr w:type="spellStart"/>
      <w:r w:rsidRPr="002D4C6A">
        <w:rPr>
          <w:b/>
          <w:bCs/>
        </w:rPr>
        <w:t>Intercountry</w:t>
      </w:r>
      <w:proofErr w:type="spellEnd"/>
      <w:r w:rsidRPr="002D4C6A">
        <w:rPr>
          <w:b/>
          <w:bCs/>
        </w:rPr>
        <w:t xml:space="preserve"> Adoption, in order to inter alia, prevent trafficking and smuggling of children.</w:t>
      </w:r>
    </w:p>
    <w:p w:rsidR="002D4C6A" w:rsidRPr="002D4C6A" w:rsidRDefault="00727598" w:rsidP="00727598">
      <w:pPr>
        <w:pStyle w:val="H1G"/>
      </w:pPr>
      <w:r>
        <w:tab/>
      </w:r>
      <w:r w:rsidR="002D4C6A" w:rsidRPr="002D4C6A">
        <w:t>F.</w:t>
      </w:r>
      <w:r w:rsidR="002D4C6A" w:rsidRPr="002D4C6A">
        <w:tab/>
        <w:t>Disability, basic health and welfare (arts. 6, 18 (para. 3), 23, 24, 26, 27 (paras. 1-3) and 33)</w:t>
      </w:r>
    </w:p>
    <w:p w:rsidR="002D4C6A" w:rsidRPr="002D4C6A" w:rsidRDefault="002D4C6A" w:rsidP="0068384C">
      <w:pPr>
        <w:pStyle w:val="H23G"/>
      </w:pPr>
      <w:bookmarkStart w:id="0" w:name="_GoBack"/>
      <w:bookmarkEnd w:id="0"/>
      <w:r w:rsidRPr="002D4C6A">
        <w:tab/>
      </w:r>
      <w:r w:rsidRPr="002D4C6A">
        <w:tab/>
        <w:t xml:space="preserve">Children with disabilities  </w:t>
      </w:r>
    </w:p>
    <w:p w:rsidR="002D4C6A" w:rsidRPr="0068384C" w:rsidRDefault="002D4C6A" w:rsidP="0068384C">
      <w:pPr>
        <w:pStyle w:val="SingleTxtG"/>
        <w:numPr>
          <w:ilvl w:val="0"/>
          <w:numId w:val="36"/>
        </w:numPr>
        <w:ind w:left="1134" w:firstLine="0"/>
      </w:pPr>
      <w:r w:rsidRPr="0068384C">
        <w:t>The Committee welcomes the inclusion of provisions on the rights of children with disabilities under the new Constitution. However, it remains concerned that:</w:t>
      </w:r>
    </w:p>
    <w:p w:rsidR="002D4C6A" w:rsidRPr="002D4C6A" w:rsidRDefault="002D4C6A" w:rsidP="0068384C">
      <w:pPr>
        <w:pStyle w:val="SingleTxtG"/>
        <w:ind w:firstLine="567"/>
      </w:pPr>
      <w:r w:rsidRPr="002D4C6A">
        <w:t>(a)</w:t>
      </w:r>
      <w:r w:rsidRPr="002D4C6A">
        <w:tab/>
        <w:t>There is no comprehensive inclusive education policy framework and segregated special education for children with disabilities remains the norm;</w:t>
      </w:r>
    </w:p>
    <w:p w:rsidR="002D4C6A" w:rsidRPr="002D4C6A" w:rsidRDefault="002D4C6A" w:rsidP="0068384C">
      <w:pPr>
        <w:pStyle w:val="SingleTxtG"/>
        <w:ind w:firstLine="567"/>
      </w:pPr>
      <w:r w:rsidRPr="002D4C6A">
        <w:t>(b)</w:t>
      </w:r>
      <w:r w:rsidRPr="002D4C6A">
        <w:tab/>
        <w:t>Discrimination and social stigma against children with disabilities, the number of whom has increased following the 2015 earthquake, is prevalent and manifests itself in multiple and intersecting forms, including for girls with disabilities;</w:t>
      </w:r>
    </w:p>
    <w:p w:rsidR="002D4C6A" w:rsidRPr="002D4C6A" w:rsidRDefault="002D4C6A" w:rsidP="0068384C">
      <w:pPr>
        <w:pStyle w:val="SingleTxtG"/>
        <w:ind w:firstLine="567"/>
      </w:pPr>
      <w:r w:rsidRPr="002D4C6A">
        <w:t>(c)</w:t>
      </w:r>
      <w:r w:rsidRPr="002D4C6A">
        <w:tab/>
        <w:t xml:space="preserve">Children with disabilities face hindrances accessing health care, and housing; </w:t>
      </w:r>
    </w:p>
    <w:p w:rsidR="002D4C6A" w:rsidRPr="002D4C6A" w:rsidRDefault="002D4C6A" w:rsidP="0068384C">
      <w:pPr>
        <w:pStyle w:val="SingleTxtG"/>
        <w:ind w:firstLine="567"/>
      </w:pPr>
      <w:r w:rsidRPr="002D4C6A">
        <w:t>(d)</w:t>
      </w:r>
      <w:r w:rsidRPr="002D4C6A">
        <w:tab/>
        <w:t>The</w:t>
      </w:r>
      <w:r w:rsidR="004C2B84">
        <w:t>re is a</w:t>
      </w:r>
      <w:r w:rsidRPr="002D4C6A">
        <w:t xml:space="preserve"> lack of adequate physically accessible infrastructure for children with disabilities; </w:t>
      </w:r>
    </w:p>
    <w:p w:rsidR="002D4C6A" w:rsidRPr="002D4C6A" w:rsidRDefault="002D4C6A" w:rsidP="0068384C">
      <w:pPr>
        <w:pStyle w:val="SingleTxtG"/>
        <w:ind w:firstLine="567"/>
      </w:pPr>
      <w:r w:rsidRPr="002D4C6A">
        <w:t>(e)</w:t>
      </w:r>
      <w:r w:rsidRPr="002D4C6A">
        <w:tab/>
        <w:t>Existing measures for the inclusion of children with disabilities are</w:t>
      </w:r>
      <w:r w:rsidR="00535A6F">
        <w:t xml:space="preserve"> </w:t>
      </w:r>
      <w:r w:rsidRPr="002D4C6A">
        <w:t xml:space="preserve">limited to children with physical or sensorial disability, which excludes children with mental or intellectual disability </w:t>
      </w:r>
      <w:r w:rsidR="00C55713" w:rsidRPr="002D4C6A">
        <w:t>exacerbati</w:t>
      </w:r>
      <w:r w:rsidR="00C55713">
        <w:t>ng</w:t>
      </w:r>
      <w:r w:rsidRPr="002D4C6A">
        <w:t xml:space="preserve"> their stigmatisation; and, </w:t>
      </w:r>
    </w:p>
    <w:p w:rsidR="002D4C6A" w:rsidRPr="002D4C6A" w:rsidRDefault="002D4C6A" w:rsidP="0068384C">
      <w:pPr>
        <w:pStyle w:val="SingleTxtG"/>
        <w:ind w:firstLine="567"/>
      </w:pPr>
      <w:r w:rsidRPr="002D4C6A">
        <w:t>(f)</w:t>
      </w:r>
      <w:r w:rsidRPr="002D4C6A">
        <w:tab/>
      </w:r>
      <w:r w:rsidRPr="002D4C6A">
        <w:rPr>
          <w:lang w:val="en-US"/>
        </w:rPr>
        <w:t>Disaggregated data on the abuse and neglect of children with disabilities is lacking.</w:t>
      </w:r>
    </w:p>
    <w:p w:rsidR="002D4C6A" w:rsidRPr="0068384C" w:rsidRDefault="002D4C6A" w:rsidP="0068384C">
      <w:pPr>
        <w:pStyle w:val="SingleTxtG"/>
        <w:numPr>
          <w:ilvl w:val="0"/>
          <w:numId w:val="36"/>
        </w:numPr>
        <w:ind w:left="1134" w:firstLine="0"/>
        <w:rPr>
          <w:b/>
        </w:rPr>
      </w:pPr>
      <w:r w:rsidRPr="0068384C">
        <w:rPr>
          <w:b/>
        </w:rPr>
        <w:t>In the light of its general comment No. 9 (2006) on the rights of children with disabilities, the Committee urges the State party to adopt a human rights-based approach to disability, set up a comprehensive strategy for the inclusion of all children with disabilities (with physical, mental, intellectual or sensory impairments) and:</w:t>
      </w:r>
    </w:p>
    <w:p w:rsidR="002D4C6A" w:rsidRPr="002D4C6A" w:rsidRDefault="002D4C6A" w:rsidP="0068384C">
      <w:pPr>
        <w:pStyle w:val="SingleTxtG"/>
        <w:ind w:firstLine="567"/>
        <w:rPr>
          <w:b/>
          <w:bCs/>
        </w:rPr>
      </w:pPr>
      <w:r w:rsidRPr="002D4C6A">
        <w:rPr>
          <w:b/>
          <w:bCs/>
        </w:rPr>
        <w:t>(a)</w:t>
      </w:r>
      <w:r w:rsidRPr="002D4C6A">
        <w:rPr>
          <w:b/>
          <w:bCs/>
        </w:rPr>
        <w:tab/>
        <w:t xml:space="preserve">Prioritise the development of inclusive education and ensure it is given priority over the placement of children in specialized institutions and </w:t>
      </w:r>
      <w:proofErr w:type="spellStart"/>
      <w:r w:rsidRPr="002D4C6A">
        <w:rPr>
          <w:b/>
          <w:bCs/>
        </w:rPr>
        <w:t>classes;and</w:t>
      </w:r>
      <w:proofErr w:type="spellEnd"/>
      <w:r w:rsidRPr="002D4C6A">
        <w:rPr>
          <w:b/>
          <w:bCs/>
        </w:rPr>
        <w:t xml:space="preserve"> in doing so, train and assign specialized teachers and professionals in integrated classes providing individual support and all due attention to children with learning difficulties;</w:t>
      </w:r>
    </w:p>
    <w:p w:rsidR="002D4C6A" w:rsidRPr="002D4C6A" w:rsidRDefault="002D4C6A" w:rsidP="0068384C">
      <w:pPr>
        <w:pStyle w:val="SingleTxtG"/>
        <w:ind w:firstLine="567"/>
        <w:rPr>
          <w:b/>
          <w:bCs/>
        </w:rPr>
      </w:pPr>
      <w:r w:rsidRPr="002D4C6A">
        <w:rPr>
          <w:b/>
          <w:bCs/>
        </w:rPr>
        <w:t>(b)</w:t>
      </w:r>
      <w:r w:rsidRPr="002D4C6A">
        <w:rPr>
          <w:b/>
          <w:bCs/>
        </w:rPr>
        <w:tab/>
      </w:r>
      <w:r w:rsidRPr="002D4C6A">
        <w:rPr>
          <w:b/>
        </w:rPr>
        <w:t>Undertake awareness-raising campaigns aimed at government officials, religious leaders, the public and families to combat the stigmatization of and prejudice against children with disabilities and promote a positive image of such children;</w:t>
      </w:r>
    </w:p>
    <w:p w:rsidR="002D4C6A" w:rsidRPr="002D4C6A" w:rsidRDefault="002D4C6A" w:rsidP="0068384C">
      <w:pPr>
        <w:pStyle w:val="SingleTxtG"/>
        <w:ind w:firstLine="567"/>
        <w:rPr>
          <w:b/>
          <w:bCs/>
        </w:rPr>
      </w:pPr>
      <w:r w:rsidRPr="002D4C6A">
        <w:rPr>
          <w:b/>
          <w:bCs/>
        </w:rPr>
        <w:t>(c)</w:t>
      </w:r>
      <w:r w:rsidRPr="002D4C6A">
        <w:rPr>
          <w:b/>
          <w:bCs/>
        </w:rPr>
        <w:tab/>
        <w:t xml:space="preserve"> Take immediate measures to ensure that children with disabilities have access to health care, including early detection and intervention programmes;</w:t>
      </w:r>
    </w:p>
    <w:p w:rsidR="002D4C6A" w:rsidRPr="002D4C6A" w:rsidRDefault="002D4C6A" w:rsidP="0068384C">
      <w:pPr>
        <w:pStyle w:val="SingleTxtG"/>
        <w:ind w:firstLine="567"/>
        <w:rPr>
          <w:b/>
          <w:bCs/>
        </w:rPr>
      </w:pPr>
      <w:r w:rsidRPr="002D4C6A">
        <w:rPr>
          <w:b/>
          <w:bCs/>
        </w:rPr>
        <w:t>(d)</w:t>
      </w:r>
      <w:r w:rsidRPr="002D4C6A">
        <w:rPr>
          <w:b/>
          <w:bCs/>
        </w:rPr>
        <w:tab/>
        <w:t>Take measures to increase the availability of physically accessible public buildings</w:t>
      </w:r>
      <w:r w:rsidR="00535A6F">
        <w:rPr>
          <w:b/>
          <w:bCs/>
        </w:rPr>
        <w:t xml:space="preserve">, </w:t>
      </w:r>
      <w:r w:rsidRPr="002D4C6A">
        <w:rPr>
          <w:b/>
          <w:bCs/>
        </w:rPr>
        <w:t xml:space="preserve">including in its ongoing reconstruction process; </w:t>
      </w:r>
    </w:p>
    <w:p w:rsidR="002D4C6A" w:rsidRPr="002D4C6A" w:rsidRDefault="002D4C6A" w:rsidP="0068384C">
      <w:pPr>
        <w:pStyle w:val="SingleTxtG"/>
        <w:ind w:firstLine="567"/>
        <w:rPr>
          <w:b/>
          <w:bCs/>
        </w:rPr>
      </w:pPr>
      <w:r w:rsidRPr="002D4C6A">
        <w:rPr>
          <w:b/>
          <w:bCs/>
        </w:rPr>
        <w:t>(e)</w:t>
      </w:r>
      <w:r w:rsidRPr="002D4C6A">
        <w:rPr>
          <w:b/>
          <w:bCs/>
        </w:rPr>
        <w:tab/>
        <w:t>Ensure that the legislative and programmatic definition of disabilities in the State party conforms to the Convention on the Rights of Disabilities, and encompasses mental or inte</w:t>
      </w:r>
      <w:r w:rsidR="00535A6F">
        <w:rPr>
          <w:b/>
          <w:bCs/>
        </w:rPr>
        <w:t>lle</w:t>
      </w:r>
      <w:r w:rsidRPr="002D4C6A">
        <w:rPr>
          <w:b/>
          <w:bCs/>
        </w:rPr>
        <w:t>ctual disabilities; and,</w:t>
      </w:r>
    </w:p>
    <w:p w:rsidR="002D4C6A" w:rsidRPr="002D4C6A" w:rsidRDefault="002D4C6A" w:rsidP="0068384C">
      <w:pPr>
        <w:pStyle w:val="SingleTxtG"/>
        <w:ind w:firstLine="567"/>
        <w:rPr>
          <w:b/>
          <w:bCs/>
        </w:rPr>
      </w:pPr>
      <w:r w:rsidRPr="002D4C6A">
        <w:rPr>
          <w:b/>
          <w:bCs/>
        </w:rPr>
        <w:t>(f)</w:t>
      </w:r>
      <w:r w:rsidRPr="002D4C6A">
        <w:rPr>
          <w:b/>
          <w:bCs/>
        </w:rPr>
        <w:tab/>
        <w:t>Prioritise the collection of data on children with disabilities and develop an efficient system for diagnosing disability, in order to implement appropriate policies and programmes for children with disabilities.</w:t>
      </w:r>
    </w:p>
    <w:p w:rsidR="002D4C6A" w:rsidRPr="002D4C6A" w:rsidRDefault="002D4C6A" w:rsidP="00727598">
      <w:pPr>
        <w:pStyle w:val="H23G"/>
      </w:pPr>
      <w:r w:rsidRPr="002D4C6A">
        <w:tab/>
      </w:r>
      <w:r w:rsidRPr="002D4C6A">
        <w:tab/>
        <w:t xml:space="preserve">Health and health services </w:t>
      </w:r>
    </w:p>
    <w:p w:rsidR="002D4C6A" w:rsidRPr="0068384C" w:rsidRDefault="002D4C6A" w:rsidP="0068384C">
      <w:pPr>
        <w:pStyle w:val="SingleTxtG"/>
        <w:numPr>
          <w:ilvl w:val="0"/>
          <w:numId w:val="36"/>
        </w:numPr>
        <w:ind w:left="1134" w:firstLine="0"/>
      </w:pPr>
      <w:r w:rsidRPr="0068384C">
        <w:t>The Committee welcomes article 35 of the Constitution on the right to healthcare. However, the Committee is concerned that:</w:t>
      </w:r>
    </w:p>
    <w:p w:rsidR="002D4C6A" w:rsidRPr="002D4C6A" w:rsidRDefault="002D4C6A" w:rsidP="0068384C">
      <w:pPr>
        <w:pStyle w:val="SingleTxtG"/>
        <w:ind w:firstLine="567"/>
      </w:pPr>
      <w:r w:rsidRPr="002D4C6A">
        <w:t>(a)</w:t>
      </w:r>
      <w:r w:rsidRPr="002D4C6A">
        <w:tab/>
        <w:t>The quality of and access to health services in rural areas remain significantly poorer than in urban areas;</w:t>
      </w:r>
    </w:p>
    <w:p w:rsidR="002D4C6A" w:rsidRPr="002D4C6A" w:rsidRDefault="002D4C6A" w:rsidP="0068384C">
      <w:pPr>
        <w:pStyle w:val="SingleTxtG"/>
        <w:ind w:firstLine="567"/>
      </w:pPr>
      <w:r w:rsidRPr="002D4C6A">
        <w:t>(b)</w:t>
      </w:r>
      <w:r w:rsidRPr="002D4C6A">
        <w:tab/>
        <w:t>Despite the progress made in reducing overall under-5 mortality and morbidity, the neonatal mortality rate remains high due to a lack of accessible and affordable health services, with these deaths representing 61 per cent of all deaths of children under 5 in the State party; and,</w:t>
      </w:r>
    </w:p>
    <w:p w:rsidR="002D4C6A" w:rsidRPr="002D4C6A" w:rsidRDefault="002D4C6A" w:rsidP="0068384C">
      <w:pPr>
        <w:pStyle w:val="SingleTxtG"/>
        <w:ind w:firstLine="567"/>
      </w:pPr>
      <w:r w:rsidRPr="002D4C6A">
        <w:t>(c)</w:t>
      </w:r>
      <w:r w:rsidRPr="002D4C6A">
        <w:tab/>
        <w:t xml:space="preserve">Chronic malnutrition (stunting) and wasting (acute malnutrition) are prevalent among children, and poor nutrition continues to cause 60 per cent of child mortality in the State Party. </w:t>
      </w:r>
    </w:p>
    <w:p w:rsidR="002D4C6A" w:rsidRPr="0068384C" w:rsidRDefault="002D4C6A" w:rsidP="0068384C">
      <w:pPr>
        <w:pStyle w:val="SingleTxtG"/>
        <w:numPr>
          <w:ilvl w:val="0"/>
          <w:numId w:val="36"/>
        </w:numPr>
        <w:ind w:left="1134" w:firstLine="0"/>
        <w:rPr>
          <w:b/>
        </w:rPr>
      </w:pPr>
      <w:r w:rsidRPr="0068384C">
        <w:rPr>
          <w:b/>
        </w:rPr>
        <w:t xml:space="preserve">In the light of its General comment No. 15 (2013) on the right of the child to the enjoyment of the highest attainable standard of health and taking note of Sustainable Development Goal 3, target 3.2 on ending preventable deaths of </w:t>
      </w:r>
      <w:proofErr w:type="spellStart"/>
      <w:r w:rsidRPr="0068384C">
        <w:rPr>
          <w:b/>
        </w:rPr>
        <w:t>newborns</w:t>
      </w:r>
      <w:proofErr w:type="spellEnd"/>
      <w:r w:rsidRPr="0068384C">
        <w:rPr>
          <w:b/>
        </w:rPr>
        <w:t xml:space="preserve"> and children under 5 years of age by 2030, the Committee recommends that the State party:</w:t>
      </w:r>
    </w:p>
    <w:p w:rsidR="002D4C6A" w:rsidRPr="002D4C6A" w:rsidRDefault="002D4C6A" w:rsidP="0068384C">
      <w:pPr>
        <w:pStyle w:val="SingleTxtG"/>
        <w:ind w:firstLine="567"/>
        <w:rPr>
          <w:b/>
        </w:rPr>
      </w:pPr>
      <w:r w:rsidRPr="002D4C6A">
        <w:rPr>
          <w:b/>
        </w:rPr>
        <w:t>(a)</w:t>
      </w:r>
      <w:r w:rsidRPr="002D4C6A">
        <w:rPr>
          <w:b/>
        </w:rPr>
        <w:tab/>
        <w:t>Expeditiously allocate additional human, technical and financial resources for improving access to and quality of health services, particularly in rural areas;</w:t>
      </w:r>
    </w:p>
    <w:p w:rsidR="002D4C6A" w:rsidRPr="002D4C6A" w:rsidRDefault="002D4C6A" w:rsidP="0068384C">
      <w:pPr>
        <w:pStyle w:val="SingleTxtG"/>
        <w:ind w:firstLine="567"/>
        <w:rPr>
          <w:b/>
        </w:rPr>
      </w:pPr>
      <w:r w:rsidRPr="002D4C6A">
        <w:rPr>
          <w:b/>
        </w:rPr>
        <w:t>(b)</w:t>
      </w:r>
      <w:r w:rsidRPr="002D4C6A">
        <w:rPr>
          <w:b/>
        </w:rPr>
        <w:tab/>
        <w:t xml:space="preserve">Undertake  measures to reduce neonatal mortality rates, including by preventing infectious diseases and ensuring care for </w:t>
      </w:r>
      <w:proofErr w:type="spellStart"/>
      <w:r w:rsidRPr="002D4C6A">
        <w:rPr>
          <w:b/>
        </w:rPr>
        <w:t>newborns</w:t>
      </w:r>
      <w:proofErr w:type="spellEnd"/>
      <w:r w:rsidRPr="002D4C6A">
        <w:rPr>
          <w:b/>
        </w:rPr>
        <w:t xml:space="preserve"> during the neonatal period and allocating adequate resources to provide emergency services and resuscitations in rural areas; and in doing so, implement and apply the OHCHR Technical guidance on the application of a human rights-based approach to the implementation of policies and programmes to reduce and eliminate preventable mortality and morbidity of children under 5 years of age (A/HRC/27/31); and, </w:t>
      </w:r>
    </w:p>
    <w:p w:rsidR="002D4C6A" w:rsidRPr="002D4C6A" w:rsidRDefault="002D4C6A" w:rsidP="0068384C">
      <w:pPr>
        <w:pStyle w:val="SingleTxtG"/>
        <w:ind w:firstLine="567"/>
        <w:rPr>
          <w:b/>
        </w:rPr>
      </w:pPr>
      <w:r w:rsidRPr="002D4C6A">
        <w:rPr>
          <w:b/>
        </w:rPr>
        <w:t>(c)</w:t>
      </w:r>
      <w:r w:rsidRPr="002D4C6A">
        <w:rPr>
          <w:b/>
        </w:rPr>
        <w:tab/>
        <w:t xml:space="preserve">Ensure the full </w:t>
      </w:r>
      <w:proofErr w:type="gramStart"/>
      <w:r w:rsidRPr="002D4C6A">
        <w:rPr>
          <w:b/>
        </w:rPr>
        <w:t>involvement of all relevant ministries concerned in the effective implementation of the 2013-2017 Multi-sector Nutrition Plan for addressing chronic malnutrition among children; and,</w:t>
      </w:r>
      <w:r w:rsidRPr="002D4C6A" w:rsidDel="00B40EE4">
        <w:rPr>
          <w:b/>
        </w:rPr>
        <w:t xml:space="preserve"> </w:t>
      </w:r>
      <w:r w:rsidRPr="002D4C6A">
        <w:rPr>
          <w:b/>
        </w:rPr>
        <w:t>consider</w:t>
      </w:r>
      <w:proofErr w:type="gramEnd"/>
      <w:r w:rsidRPr="002D4C6A">
        <w:rPr>
          <w:b/>
        </w:rPr>
        <w:t xml:space="preserve"> establishing a programme for the non-discriminatory provision of food and nutritional supplements for children at risk of malnutrition, with a particular focus on young infants up to two years of age.</w:t>
      </w:r>
    </w:p>
    <w:p w:rsidR="002D4C6A" w:rsidRPr="002D4C6A" w:rsidRDefault="002D4C6A" w:rsidP="0068384C">
      <w:pPr>
        <w:pStyle w:val="SingleTxtG"/>
        <w:ind w:firstLine="567"/>
        <w:rPr>
          <w:b/>
        </w:rPr>
      </w:pPr>
      <w:r w:rsidRPr="002D4C6A">
        <w:rPr>
          <w:b/>
        </w:rPr>
        <w:t>In implementing the above, the State party is encouraged to seek financial and technical assistance from UNICEF and the World Health Organization (WHO), among others, in this regard.</w:t>
      </w:r>
    </w:p>
    <w:p w:rsidR="002D4C6A" w:rsidRPr="002D4C6A" w:rsidRDefault="00727598" w:rsidP="00727598">
      <w:pPr>
        <w:pStyle w:val="H23G"/>
      </w:pPr>
      <w:r>
        <w:tab/>
      </w:r>
      <w:r>
        <w:tab/>
        <w:t>Mental health</w:t>
      </w:r>
    </w:p>
    <w:p w:rsidR="002D4C6A" w:rsidRPr="0068384C" w:rsidRDefault="002D4C6A" w:rsidP="0068384C">
      <w:pPr>
        <w:pStyle w:val="SingleTxtG"/>
        <w:numPr>
          <w:ilvl w:val="0"/>
          <w:numId w:val="36"/>
        </w:numPr>
        <w:ind w:left="1134" w:firstLine="0"/>
      </w:pPr>
      <w:r w:rsidRPr="0068384C">
        <w:t>The Committee is concerned about the short- and long-term impacts of the 2015 earthquakes on children’s mental health. The Committee is also concerned about the lack of mental health support for children who have been victims of violence or trauma.</w:t>
      </w:r>
    </w:p>
    <w:p w:rsidR="002D4C6A" w:rsidRPr="002D4C6A" w:rsidRDefault="002D4C6A" w:rsidP="0068384C">
      <w:pPr>
        <w:pStyle w:val="SingleTxtG"/>
        <w:numPr>
          <w:ilvl w:val="0"/>
          <w:numId w:val="36"/>
        </w:numPr>
        <w:ind w:left="1134" w:firstLine="0"/>
        <w:rPr>
          <w:b/>
        </w:rPr>
      </w:pPr>
      <w:r w:rsidRPr="002D4C6A">
        <w:rPr>
          <w:b/>
        </w:rPr>
        <w:t xml:space="preserve">The Committee recommends that the State Party take all necessary measures to provide mental health-care services to children, including those affected by the 2015 earthquakes and/or violence or trauma. </w:t>
      </w:r>
    </w:p>
    <w:p w:rsidR="002D4C6A" w:rsidRPr="002D4C6A" w:rsidRDefault="002D4C6A" w:rsidP="00727598">
      <w:pPr>
        <w:pStyle w:val="H23G"/>
      </w:pPr>
      <w:r w:rsidRPr="002D4C6A">
        <w:tab/>
      </w:r>
      <w:r w:rsidRPr="002D4C6A">
        <w:tab/>
        <w:t>Adolescent health</w:t>
      </w:r>
    </w:p>
    <w:p w:rsidR="002D4C6A" w:rsidRPr="002D4C6A" w:rsidRDefault="002D4C6A" w:rsidP="0068384C">
      <w:pPr>
        <w:pStyle w:val="SingleTxtG"/>
        <w:numPr>
          <w:ilvl w:val="0"/>
          <w:numId w:val="36"/>
        </w:numPr>
        <w:ind w:left="1134" w:firstLine="0"/>
      </w:pPr>
      <w:r w:rsidRPr="002D4C6A">
        <w:t>The Committee welcomes the 2015 upgrading of health facilities across the State party to provide adolescent friendly clinics with confidential counselling and services on reproductive health issues. However, the Committee remains concerned about the high rate of early pregnancies, low practice of birth control, vulnerability to STIs an</w:t>
      </w:r>
      <w:r w:rsidR="00C55713">
        <w:t>d HIV associated with</w:t>
      </w:r>
      <w:r w:rsidRPr="002D4C6A">
        <w:t xml:space="preserve"> this, and poor awareness of safe abortion practices. </w:t>
      </w:r>
    </w:p>
    <w:p w:rsidR="002D4C6A" w:rsidRPr="0068384C" w:rsidRDefault="002D4C6A" w:rsidP="0068384C">
      <w:pPr>
        <w:pStyle w:val="SingleTxtG"/>
        <w:numPr>
          <w:ilvl w:val="0"/>
          <w:numId w:val="36"/>
        </w:numPr>
        <w:ind w:left="1134" w:firstLine="0"/>
        <w:rPr>
          <w:b/>
        </w:rPr>
      </w:pPr>
      <w:r w:rsidRPr="0068384C">
        <w:rPr>
          <w:b/>
        </w:rPr>
        <w:t>In the light of its general comment No. 4 (2003) on adolescent health, the Committee recommends that the State party adopt a comprehensive sexual and reproductive health policy for adolescents and ensure that meaningful sexual and reproductive health education is part of the mandatory school curriculum and targeted at adolescent girls and boys, with special attention to preventing early pregnancy and sexually transmitted infections.</w:t>
      </w:r>
    </w:p>
    <w:p w:rsidR="002D4C6A" w:rsidRPr="002D4C6A" w:rsidRDefault="0068384C" w:rsidP="0068384C">
      <w:pPr>
        <w:pStyle w:val="H23G"/>
      </w:pPr>
      <w:r>
        <w:tab/>
      </w:r>
      <w:r>
        <w:tab/>
      </w:r>
      <w:r w:rsidR="002D4C6A" w:rsidRPr="002D4C6A">
        <w:t>Standard of living</w:t>
      </w:r>
    </w:p>
    <w:p w:rsidR="002D4C6A" w:rsidRPr="002D4C6A" w:rsidRDefault="002D4C6A" w:rsidP="0068384C">
      <w:pPr>
        <w:pStyle w:val="SingleTxtG"/>
        <w:numPr>
          <w:ilvl w:val="0"/>
          <w:numId w:val="36"/>
        </w:numPr>
        <w:ind w:left="1134" w:firstLine="0"/>
      </w:pPr>
      <w:r w:rsidRPr="002D4C6A">
        <w:t xml:space="preserve">The Committee is gravely concerned about the severity of the food shortages in the State party, with significant proportions of the population suffering from food shortages on a daily basis and almost 40 percent of children below the age of five suffering from malnourishment. The Committee is especially concerned about the districts of </w:t>
      </w:r>
      <w:proofErr w:type="spellStart"/>
      <w:r w:rsidRPr="002D4C6A">
        <w:t>Dhading</w:t>
      </w:r>
      <w:proofErr w:type="spellEnd"/>
      <w:r w:rsidRPr="002D4C6A">
        <w:t xml:space="preserve">, </w:t>
      </w:r>
      <w:proofErr w:type="spellStart"/>
      <w:r w:rsidRPr="002D4C6A">
        <w:t>Dolokha</w:t>
      </w:r>
      <w:proofErr w:type="spellEnd"/>
      <w:r w:rsidRPr="002D4C6A">
        <w:t xml:space="preserve">, </w:t>
      </w:r>
      <w:proofErr w:type="spellStart"/>
      <w:r w:rsidRPr="002D4C6A">
        <w:t>Gorkha</w:t>
      </w:r>
      <w:proofErr w:type="spellEnd"/>
      <w:r w:rsidRPr="002D4C6A">
        <w:t xml:space="preserve">, </w:t>
      </w:r>
      <w:proofErr w:type="spellStart"/>
      <w:r w:rsidRPr="002D4C6A">
        <w:t>Nuwakot</w:t>
      </w:r>
      <w:proofErr w:type="spellEnd"/>
      <w:r w:rsidRPr="002D4C6A">
        <w:t xml:space="preserve">, </w:t>
      </w:r>
      <w:proofErr w:type="spellStart"/>
      <w:r w:rsidRPr="002D4C6A">
        <w:t>Rasuwa</w:t>
      </w:r>
      <w:proofErr w:type="spellEnd"/>
      <w:r w:rsidRPr="002D4C6A">
        <w:t xml:space="preserve"> and </w:t>
      </w:r>
      <w:proofErr w:type="spellStart"/>
      <w:r w:rsidRPr="002D4C6A">
        <w:t>Sindhupalchock</w:t>
      </w:r>
      <w:proofErr w:type="spellEnd"/>
      <w:r w:rsidRPr="002D4C6A">
        <w:t xml:space="preserve">, which have had their agricultural capacity further reduced by the earthquake amid pre-existing food shortages. Furthermore, the Committee remains concerned about the continued severity and prevalence of child poverty </w:t>
      </w:r>
      <w:proofErr w:type="gramStart"/>
      <w:r w:rsidRPr="002D4C6A">
        <w:t>raised</w:t>
      </w:r>
      <w:proofErr w:type="gramEnd"/>
      <w:r w:rsidRPr="002D4C6A">
        <w:t xml:space="preserve"> in its previous concluding observations (CRC/C/15/Add.261, para. 72).</w:t>
      </w:r>
    </w:p>
    <w:p w:rsidR="002D4C6A" w:rsidRPr="0068384C" w:rsidRDefault="002D4C6A" w:rsidP="0068384C">
      <w:pPr>
        <w:pStyle w:val="SingleTxtG"/>
        <w:numPr>
          <w:ilvl w:val="0"/>
          <w:numId w:val="36"/>
        </w:numPr>
        <w:ind w:left="1134" w:firstLine="0"/>
        <w:rPr>
          <w:b/>
        </w:rPr>
      </w:pPr>
      <w:r w:rsidRPr="0068384C">
        <w:rPr>
          <w:b/>
        </w:rPr>
        <w:t>The Committee urges the State party to expeditiously take measures to increase its budgetary allocations to its Multi-Sector Nutrition Plan and ensure equitable and non-discriminatory distribution of food pursuant to this plan, with particular attention to children in vulnerable situations, including those of Dalit backgrounds, minorities, and rural areas. The Committee also recommends that the severe</w:t>
      </w:r>
      <w:r w:rsidR="00C55713">
        <w:rPr>
          <w:b/>
        </w:rPr>
        <w:t>ly earthquake affected districts</w:t>
      </w:r>
      <w:r w:rsidRPr="0068384C">
        <w:rPr>
          <w:b/>
        </w:rPr>
        <w:t xml:space="preserve"> of </w:t>
      </w:r>
      <w:proofErr w:type="spellStart"/>
      <w:r w:rsidRPr="0068384C">
        <w:rPr>
          <w:b/>
        </w:rPr>
        <w:t>Dhading</w:t>
      </w:r>
      <w:proofErr w:type="spellEnd"/>
      <w:r w:rsidRPr="0068384C">
        <w:rPr>
          <w:b/>
        </w:rPr>
        <w:t xml:space="preserve">, </w:t>
      </w:r>
      <w:proofErr w:type="spellStart"/>
      <w:r w:rsidRPr="0068384C">
        <w:rPr>
          <w:b/>
        </w:rPr>
        <w:t>Dolokha</w:t>
      </w:r>
      <w:proofErr w:type="spellEnd"/>
      <w:r w:rsidRPr="0068384C">
        <w:rPr>
          <w:b/>
        </w:rPr>
        <w:t xml:space="preserve">, </w:t>
      </w:r>
      <w:proofErr w:type="spellStart"/>
      <w:r w:rsidRPr="0068384C">
        <w:rPr>
          <w:b/>
        </w:rPr>
        <w:t>Gorkha</w:t>
      </w:r>
      <w:proofErr w:type="spellEnd"/>
      <w:r w:rsidRPr="0068384C">
        <w:rPr>
          <w:b/>
        </w:rPr>
        <w:t xml:space="preserve">, </w:t>
      </w:r>
      <w:proofErr w:type="spellStart"/>
      <w:r w:rsidRPr="0068384C">
        <w:rPr>
          <w:b/>
        </w:rPr>
        <w:t>Nuwakot</w:t>
      </w:r>
      <w:proofErr w:type="spellEnd"/>
      <w:r w:rsidRPr="0068384C">
        <w:rPr>
          <w:b/>
        </w:rPr>
        <w:t xml:space="preserve">, </w:t>
      </w:r>
      <w:proofErr w:type="spellStart"/>
      <w:r w:rsidRPr="0068384C">
        <w:rPr>
          <w:b/>
        </w:rPr>
        <w:t>Rasuwa</w:t>
      </w:r>
      <w:proofErr w:type="spellEnd"/>
      <w:r w:rsidRPr="0068384C">
        <w:rPr>
          <w:b/>
        </w:rPr>
        <w:t xml:space="preserve">, and </w:t>
      </w:r>
      <w:proofErr w:type="spellStart"/>
      <w:r w:rsidRPr="0068384C">
        <w:rPr>
          <w:b/>
        </w:rPr>
        <w:t>Sindhupalchock</w:t>
      </w:r>
      <w:proofErr w:type="spellEnd"/>
      <w:r w:rsidRPr="0068384C">
        <w:rPr>
          <w:b/>
        </w:rPr>
        <w:t xml:space="preserve"> be prioritised. The State party is also encouraged to seek international assistance for this. </w:t>
      </w:r>
    </w:p>
    <w:p w:rsidR="002D4C6A" w:rsidRPr="0068384C" w:rsidRDefault="002D4C6A" w:rsidP="0068384C">
      <w:pPr>
        <w:pStyle w:val="SingleTxtG"/>
        <w:numPr>
          <w:ilvl w:val="0"/>
          <w:numId w:val="36"/>
        </w:numPr>
        <w:ind w:left="1134" w:firstLine="0"/>
        <w:rPr>
          <w:b/>
        </w:rPr>
      </w:pPr>
      <w:r w:rsidRPr="002D4C6A">
        <w:rPr>
          <w:b/>
        </w:rPr>
        <w:t>The Committee also reiterates its previous recommendation (CRC/C/15/Add.261, paras. 73 and 73) for</w:t>
      </w:r>
      <w:r w:rsidRPr="0068384C">
        <w:rPr>
          <w:b/>
        </w:rPr>
        <w:t xml:space="preserve"> the State party to:</w:t>
      </w:r>
    </w:p>
    <w:p w:rsidR="002D4C6A" w:rsidRPr="002D4C6A" w:rsidRDefault="002D4C6A" w:rsidP="0068384C">
      <w:pPr>
        <w:pStyle w:val="SingleTxtG"/>
        <w:ind w:firstLine="567"/>
        <w:rPr>
          <w:b/>
          <w:bCs/>
        </w:rPr>
      </w:pPr>
      <w:r w:rsidRPr="002D4C6A">
        <w:rPr>
          <w:b/>
          <w:bCs/>
        </w:rPr>
        <w:t>(a)</w:t>
      </w:r>
      <w:r w:rsidRPr="002D4C6A">
        <w:rPr>
          <w:b/>
          <w:bCs/>
        </w:rPr>
        <w:tab/>
        <w:t>Strengthen its strategy to combat poverty, with due emphasis on monitoring the impact on the rights of children and allocate sufficient human and financial resources to its implementation, including through international assistance;</w:t>
      </w:r>
    </w:p>
    <w:p w:rsidR="002D4C6A" w:rsidRPr="002D4C6A" w:rsidRDefault="002D4C6A" w:rsidP="0068384C">
      <w:pPr>
        <w:pStyle w:val="SingleTxtG"/>
        <w:ind w:firstLine="567"/>
        <w:rPr>
          <w:b/>
          <w:bCs/>
        </w:rPr>
      </w:pPr>
      <w:r w:rsidRPr="002D4C6A">
        <w:rPr>
          <w:b/>
          <w:bCs/>
        </w:rPr>
        <w:t>(b)</w:t>
      </w:r>
      <w:r w:rsidRPr="002D4C6A">
        <w:rPr>
          <w:b/>
          <w:bCs/>
        </w:rPr>
        <w:tab/>
        <w:t>Reinforce its efforts to provide support and material assistance to economically disadvantaged families, notably in rural areas, slums and squats and to guarantee the right of children to an adequate standard of living;</w:t>
      </w:r>
    </w:p>
    <w:p w:rsidR="002D4C6A" w:rsidRPr="002D4C6A" w:rsidRDefault="002D4C6A" w:rsidP="0068384C">
      <w:pPr>
        <w:pStyle w:val="SingleTxtG"/>
        <w:ind w:firstLine="567"/>
        <w:rPr>
          <w:b/>
          <w:lang w:val="x-none"/>
        </w:rPr>
      </w:pPr>
      <w:r w:rsidRPr="002D4C6A">
        <w:rPr>
          <w:b/>
          <w:lang w:val="x-none"/>
        </w:rPr>
        <w:t>(c)</w:t>
      </w:r>
      <w:r w:rsidRPr="002D4C6A">
        <w:rPr>
          <w:b/>
          <w:lang w:val="x-none"/>
        </w:rPr>
        <w:tab/>
        <w:t xml:space="preserve">Establish poverty indicators and an official poverty line, </w:t>
      </w:r>
      <w:r w:rsidRPr="002D4C6A">
        <w:rPr>
          <w:b/>
        </w:rPr>
        <w:t xml:space="preserve">so as </w:t>
      </w:r>
      <w:r w:rsidRPr="002D4C6A">
        <w:rPr>
          <w:b/>
          <w:lang w:val="x-none"/>
        </w:rPr>
        <w:t>to define the extent of poverty and to monitor and evaluate progress in alleviating poverty and improving the standard of living for children in the State party;</w:t>
      </w:r>
    </w:p>
    <w:p w:rsidR="002D4C6A" w:rsidRPr="002D4C6A" w:rsidRDefault="002D4C6A" w:rsidP="0068384C">
      <w:pPr>
        <w:pStyle w:val="SingleTxtG"/>
        <w:ind w:firstLine="567"/>
        <w:rPr>
          <w:b/>
          <w:bCs/>
        </w:rPr>
      </w:pPr>
      <w:r w:rsidRPr="002D4C6A">
        <w:rPr>
          <w:b/>
          <w:bCs/>
        </w:rPr>
        <w:t>(d)</w:t>
      </w:r>
      <w:r w:rsidRPr="002D4C6A">
        <w:rPr>
          <w:b/>
          <w:bCs/>
        </w:rPr>
        <w:tab/>
        <w:t>Establish a social security policy along with a clear and coherent family policy, as well as effective strategies for using the social safety net benefits to further children’s rights and provide adequate financial resources to the social security system.</w:t>
      </w:r>
    </w:p>
    <w:p w:rsidR="002D4C6A" w:rsidRPr="002D4C6A" w:rsidRDefault="00727598" w:rsidP="00727598">
      <w:pPr>
        <w:pStyle w:val="H1G"/>
      </w:pPr>
      <w:r>
        <w:tab/>
      </w:r>
      <w:r w:rsidR="002D4C6A" w:rsidRPr="002D4C6A">
        <w:t>G.</w:t>
      </w:r>
      <w:r w:rsidR="002D4C6A" w:rsidRPr="002D4C6A">
        <w:tab/>
        <w:t>Education, leisure and cultural activities (arts. 28, 29, 30 and 31)</w:t>
      </w:r>
    </w:p>
    <w:p w:rsidR="002D4C6A" w:rsidRPr="002D4C6A" w:rsidRDefault="00727598" w:rsidP="00727598">
      <w:pPr>
        <w:pStyle w:val="H23G"/>
      </w:pPr>
      <w:r>
        <w:tab/>
      </w:r>
      <w:r>
        <w:tab/>
      </w:r>
      <w:r w:rsidR="002D4C6A" w:rsidRPr="002D4C6A">
        <w:t>Education, including vocational training and guidance</w:t>
      </w:r>
    </w:p>
    <w:p w:rsidR="002D4C6A" w:rsidRPr="0068384C" w:rsidRDefault="002D4C6A" w:rsidP="0068384C">
      <w:pPr>
        <w:pStyle w:val="SingleTxtG"/>
        <w:numPr>
          <w:ilvl w:val="0"/>
          <w:numId w:val="36"/>
        </w:numPr>
        <w:ind w:left="1134" w:firstLine="0"/>
      </w:pPr>
      <w:r w:rsidRPr="0068384C">
        <w:t>The Committee welcomes the Constitutional provisions on free and compulsory basic education and free secondary education. However, the Committee is concerned about:</w:t>
      </w:r>
    </w:p>
    <w:p w:rsidR="002D4C6A" w:rsidRPr="002D4C6A" w:rsidRDefault="002D4C6A" w:rsidP="0068384C">
      <w:pPr>
        <w:pStyle w:val="SingleTxtG"/>
        <w:ind w:firstLine="567"/>
      </w:pPr>
      <w:r w:rsidRPr="002D4C6A">
        <w:t>(a)</w:t>
      </w:r>
      <w:r w:rsidRPr="002D4C6A">
        <w:tab/>
        <w:t>This Constitutional provision not yet being enshrined in legislation;</w:t>
      </w:r>
    </w:p>
    <w:p w:rsidR="002D4C6A" w:rsidRPr="002D4C6A" w:rsidRDefault="002D4C6A" w:rsidP="0068384C">
      <w:pPr>
        <w:pStyle w:val="SingleTxtG"/>
        <w:ind w:firstLine="567"/>
      </w:pPr>
      <w:r w:rsidRPr="002D4C6A">
        <w:t>(b)</w:t>
      </w:r>
      <w:r w:rsidRPr="002D4C6A">
        <w:tab/>
        <w:t xml:space="preserve">Decreases in the proportion of the budget allocated to State provided education combined with the emergence of private schools, which exacerbates segregation and discrimination in the education system while reducing overall quality of education available to children; </w:t>
      </w:r>
    </w:p>
    <w:p w:rsidR="002D4C6A" w:rsidRPr="002D4C6A" w:rsidRDefault="002D4C6A" w:rsidP="0068384C">
      <w:pPr>
        <w:pStyle w:val="SingleTxtG"/>
        <w:ind w:firstLine="567"/>
      </w:pPr>
      <w:r w:rsidRPr="002D4C6A">
        <w:t>(c)</w:t>
      </w:r>
      <w:r w:rsidRPr="002D4C6A">
        <w:tab/>
        <w:t>The high number of children who are out of school due to hidden fees;</w:t>
      </w:r>
    </w:p>
    <w:p w:rsidR="002D4C6A" w:rsidRPr="002D4C6A" w:rsidRDefault="002D4C6A" w:rsidP="0068384C">
      <w:pPr>
        <w:pStyle w:val="SingleTxtG"/>
        <w:ind w:firstLine="567"/>
      </w:pPr>
      <w:r w:rsidRPr="002D4C6A">
        <w:t>(d)</w:t>
      </w:r>
      <w:r w:rsidRPr="002D4C6A">
        <w:tab/>
        <w:t>The high drop-out rate of girls between primary and secondary school and during secondary, due to lack of separate toilets and menstrual hygiene;</w:t>
      </w:r>
    </w:p>
    <w:p w:rsidR="002D4C6A" w:rsidRDefault="002D4C6A" w:rsidP="0068384C">
      <w:pPr>
        <w:pStyle w:val="SingleTxtG"/>
        <w:ind w:firstLine="567"/>
        <w:rPr>
          <w:u w:val="single"/>
        </w:rPr>
      </w:pPr>
      <w:r w:rsidRPr="002D4C6A">
        <w:t>(e)</w:t>
      </w:r>
      <w:r w:rsidRPr="002D4C6A">
        <w:tab/>
        <w:t>The l</w:t>
      </w:r>
      <w:r w:rsidR="00C55713">
        <w:t>ow enrolment rate and high drop-</w:t>
      </w:r>
      <w:r w:rsidRPr="002D4C6A">
        <w:t>out rate of indigenous children</w:t>
      </w:r>
      <w:r w:rsidRPr="002D4C6A">
        <w:rPr>
          <w:u w:val="single"/>
        </w:rPr>
        <w:t>;</w:t>
      </w:r>
    </w:p>
    <w:p w:rsidR="00535A6F" w:rsidRPr="002D4C6A" w:rsidRDefault="00535A6F" w:rsidP="00535A6F">
      <w:pPr>
        <w:pStyle w:val="SingleTxtG"/>
        <w:ind w:firstLine="567"/>
      </w:pPr>
      <w:r w:rsidRPr="002D4C6A">
        <w:t>(</w:t>
      </w:r>
      <w:r>
        <w:t>f</w:t>
      </w:r>
      <w:r w:rsidRPr="002D4C6A">
        <w:t>)</w:t>
      </w:r>
      <w:r w:rsidRPr="002D4C6A">
        <w:tab/>
        <w:t xml:space="preserve">Significant gaps in the quality of education between rural and urban </w:t>
      </w:r>
      <w:proofErr w:type="gramStart"/>
      <w:r w:rsidRPr="002D4C6A">
        <w:t>areas.</w:t>
      </w:r>
      <w:r>
        <w:t>;</w:t>
      </w:r>
      <w:proofErr w:type="gramEnd"/>
      <w:r>
        <w:t xml:space="preserve"> and,</w:t>
      </w:r>
    </w:p>
    <w:p w:rsidR="002D4C6A" w:rsidRPr="002D4C6A" w:rsidRDefault="002D4C6A" w:rsidP="0068384C">
      <w:pPr>
        <w:pStyle w:val="SingleTxtG"/>
        <w:ind w:firstLine="567"/>
      </w:pPr>
      <w:r w:rsidRPr="002D4C6A">
        <w:t>(</w:t>
      </w:r>
      <w:r w:rsidR="006155CF">
        <w:t>g</w:t>
      </w:r>
      <w:r w:rsidRPr="002D4C6A">
        <w:t>)</w:t>
      </w:r>
      <w:r w:rsidRPr="002D4C6A">
        <w:tab/>
        <w:t>Inadequate development of early childhood care and education</w:t>
      </w:r>
      <w:r w:rsidR="00535A6F">
        <w:t>.</w:t>
      </w:r>
    </w:p>
    <w:p w:rsidR="002D4C6A" w:rsidRPr="0068384C" w:rsidRDefault="002D4C6A" w:rsidP="0068384C">
      <w:pPr>
        <w:pStyle w:val="SingleTxtG"/>
        <w:numPr>
          <w:ilvl w:val="0"/>
          <w:numId w:val="36"/>
        </w:numPr>
        <w:ind w:left="1134" w:firstLine="0"/>
        <w:rPr>
          <w:b/>
        </w:rPr>
      </w:pPr>
      <w:r w:rsidRPr="0068384C">
        <w:rPr>
          <w:b/>
        </w:rPr>
        <w:t>In the light of its general comment No. 1 (2001) on the aims of education, the Committee recommends that the State party:</w:t>
      </w:r>
    </w:p>
    <w:p w:rsidR="002D4C6A" w:rsidRPr="002D4C6A" w:rsidRDefault="002D4C6A" w:rsidP="0068384C">
      <w:pPr>
        <w:pStyle w:val="SingleTxtG"/>
        <w:ind w:firstLine="567"/>
        <w:rPr>
          <w:b/>
          <w:bCs/>
        </w:rPr>
      </w:pPr>
      <w:r w:rsidRPr="002D4C6A">
        <w:rPr>
          <w:b/>
          <w:bCs/>
        </w:rPr>
        <w:t>(a)</w:t>
      </w:r>
      <w:r w:rsidRPr="002D4C6A">
        <w:rPr>
          <w:b/>
          <w:bCs/>
        </w:rPr>
        <w:tab/>
        <w:t>Enact legislation to ensure the effective implementation of the Constitutional right to education;</w:t>
      </w:r>
    </w:p>
    <w:p w:rsidR="002D4C6A" w:rsidRPr="002D4C6A" w:rsidRDefault="002D4C6A" w:rsidP="0068384C">
      <w:pPr>
        <w:pStyle w:val="SingleTxtG"/>
        <w:ind w:firstLine="567"/>
        <w:rPr>
          <w:b/>
          <w:bCs/>
        </w:rPr>
      </w:pPr>
      <w:r w:rsidRPr="002D4C6A">
        <w:rPr>
          <w:b/>
          <w:bCs/>
        </w:rPr>
        <w:t>(b)</w:t>
      </w:r>
      <w:r w:rsidRPr="002D4C6A">
        <w:rPr>
          <w:b/>
          <w:bCs/>
        </w:rPr>
        <w:tab/>
        <w:t>Implement appropriate financing strategies, so as to ensure the effective and actual provision of free quality education to all without discrimination, in all parts of the country, in particular for children</w:t>
      </w:r>
      <w:r w:rsidR="00535A6F">
        <w:rPr>
          <w:b/>
          <w:bCs/>
        </w:rPr>
        <w:t xml:space="preserve"> in most marginalised situations</w:t>
      </w:r>
      <w:r w:rsidRPr="002D4C6A">
        <w:rPr>
          <w:b/>
          <w:bCs/>
        </w:rPr>
        <w:t xml:space="preserve">; and, </w:t>
      </w:r>
    </w:p>
    <w:p w:rsidR="002D4C6A" w:rsidRPr="002D4C6A" w:rsidRDefault="0068384C" w:rsidP="0068384C">
      <w:pPr>
        <w:pStyle w:val="SingleTxtG"/>
        <w:ind w:firstLine="567"/>
        <w:rPr>
          <w:b/>
          <w:bCs/>
        </w:rPr>
      </w:pPr>
      <w:r>
        <w:rPr>
          <w:b/>
          <w:bCs/>
        </w:rPr>
        <w:t>(c)</w:t>
      </w:r>
      <w:r>
        <w:rPr>
          <w:b/>
          <w:bCs/>
        </w:rPr>
        <w:tab/>
      </w:r>
      <w:r w:rsidR="00535A6F">
        <w:rPr>
          <w:b/>
          <w:bCs/>
        </w:rPr>
        <w:t>T</w:t>
      </w:r>
      <w:r w:rsidR="002D4C6A" w:rsidRPr="002D4C6A">
        <w:rPr>
          <w:b/>
          <w:bCs/>
        </w:rPr>
        <w:t xml:space="preserve">ake appropriate regulatory measures to ensure that private providers of education do not undermine social cohesion, or exacerbate segregation and discrimination, in particular by effectively regulating fees, syllabus, admission criteria and diversity of student backgrounds, and other barriers to access, and ensure the adequate implementation of the legislation, </w:t>
      </w:r>
      <w:r w:rsidR="00535A6F">
        <w:rPr>
          <w:b/>
          <w:bCs/>
        </w:rPr>
        <w:t>as well as</w:t>
      </w:r>
      <w:r w:rsidR="002D4C6A" w:rsidRPr="002D4C6A">
        <w:rPr>
          <w:b/>
          <w:bCs/>
        </w:rPr>
        <w:t xml:space="preserve"> ensure child friendly school infrastructure in private schools; </w:t>
      </w:r>
    </w:p>
    <w:p w:rsidR="002D4C6A" w:rsidRPr="002D4C6A" w:rsidRDefault="002D4C6A" w:rsidP="0068384C">
      <w:pPr>
        <w:pStyle w:val="SingleTxtG"/>
        <w:ind w:firstLine="567"/>
        <w:rPr>
          <w:b/>
          <w:bCs/>
        </w:rPr>
      </w:pPr>
      <w:r w:rsidRPr="002D4C6A">
        <w:rPr>
          <w:b/>
          <w:bCs/>
        </w:rPr>
        <w:t>(</w:t>
      </w:r>
      <w:proofErr w:type="gramStart"/>
      <w:r w:rsidR="0068384C">
        <w:rPr>
          <w:b/>
          <w:bCs/>
        </w:rPr>
        <w:t>d</w:t>
      </w:r>
      <w:proofErr w:type="gramEnd"/>
      <w:r w:rsidRPr="002D4C6A">
        <w:rPr>
          <w:b/>
          <w:bCs/>
        </w:rPr>
        <w:t>)</w:t>
      </w:r>
      <w:r w:rsidRPr="002D4C6A">
        <w:rPr>
          <w:b/>
          <w:bCs/>
        </w:rPr>
        <w:tab/>
        <w:t>En</w:t>
      </w:r>
      <w:r w:rsidR="004C2B84">
        <w:rPr>
          <w:b/>
          <w:bCs/>
        </w:rPr>
        <w:t>sure regulatory and enforcement</w:t>
      </w:r>
      <w:r w:rsidRPr="002D4C6A">
        <w:rPr>
          <w:b/>
          <w:bCs/>
        </w:rPr>
        <w:t xml:space="preserve"> frameworks, including reporting mechanisms, to combat the phenomenon of schools and/or teachers subjecting children to hidden costs for attending school;</w:t>
      </w:r>
    </w:p>
    <w:p w:rsidR="002D4C6A" w:rsidRPr="002D4C6A" w:rsidRDefault="002D4C6A" w:rsidP="0068384C">
      <w:pPr>
        <w:pStyle w:val="SingleTxtG"/>
        <w:ind w:firstLine="567"/>
        <w:rPr>
          <w:b/>
          <w:bCs/>
        </w:rPr>
      </w:pPr>
      <w:r w:rsidRPr="002D4C6A">
        <w:rPr>
          <w:b/>
          <w:bCs/>
        </w:rPr>
        <w:t>(</w:t>
      </w:r>
      <w:r w:rsidR="0068384C">
        <w:rPr>
          <w:b/>
          <w:bCs/>
        </w:rPr>
        <w:t>e</w:t>
      </w:r>
      <w:r w:rsidRPr="002D4C6A">
        <w:rPr>
          <w:b/>
          <w:bCs/>
        </w:rPr>
        <w:t>)</w:t>
      </w:r>
      <w:r w:rsidRPr="002D4C6A">
        <w:rPr>
          <w:b/>
          <w:bCs/>
        </w:rPr>
        <w:tab/>
      </w:r>
      <w:r w:rsidRPr="002D4C6A">
        <w:rPr>
          <w:b/>
        </w:rPr>
        <w:t>C</w:t>
      </w:r>
      <w:r w:rsidRPr="002D4C6A">
        <w:rPr>
          <w:b/>
          <w:lang w:val="en-US"/>
        </w:rPr>
        <w:t xml:space="preserve">arry out awareness-raising activities with a view to eliminating patriarchal values, gender stereotypes and menstruation-related discrimination, which undermine girls’ right to education; and, ensure the allocation of adequate resources for the provision of sufficient gender separated toilets and menstrual </w:t>
      </w:r>
      <w:proofErr w:type="spellStart"/>
      <w:r w:rsidRPr="002D4C6A">
        <w:rPr>
          <w:b/>
          <w:lang w:val="en-US"/>
        </w:rPr>
        <w:t>hygene</w:t>
      </w:r>
      <w:proofErr w:type="spellEnd"/>
      <w:r w:rsidRPr="002D4C6A">
        <w:rPr>
          <w:b/>
          <w:lang w:val="en-US"/>
        </w:rPr>
        <w:t xml:space="preserve"> items in schools;</w:t>
      </w:r>
    </w:p>
    <w:p w:rsidR="002D4C6A" w:rsidRDefault="002D4C6A" w:rsidP="0068384C">
      <w:pPr>
        <w:pStyle w:val="SingleTxtG"/>
        <w:ind w:firstLine="567"/>
        <w:rPr>
          <w:b/>
          <w:lang w:val="en-US"/>
        </w:rPr>
      </w:pPr>
      <w:r w:rsidRPr="002D4C6A">
        <w:rPr>
          <w:b/>
        </w:rPr>
        <w:t>(</w:t>
      </w:r>
      <w:r w:rsidR="0068384C">
        <w:rPr>
          <w:b/>
        </w:rPr>
        <w:t>f</w:t>
      </w:r>
      <w:r w:rsidRPr="002D4C6A">
        <w:rPr>
          <w:b/>
        </w:rPr>
        <w:t>)</w:t>
      </w:r>
      <w:r w:rsidRPr="002D4C6A">
        <w:rPr>
          <w:b/>
        </w:rPr>
        <w:tab/>
      </w:r>
      <w:r w:rsidRPr="002D4C6A">
        <w:rPr>
          <w:b/>
          <w:lang w:val="en-US"/>
        </w:rPr>
        <w:t xml:space="preserve">Implement targeted </w:t>
      </w:r>
      <w:proofErr w:type="spellStart"/>
      <w:r w:rsidRPr="002D4C6A">
        <w:rPr>
          <w:b/>
          <w:lang w:val="en-US"/>
        </w:rPr>
        <w:t>programmes</w:t>
      </w:r>
      <w:proofErr w:type="spellEnd"/>
      <w:r w:rsidRPr="002D4C6A">
        <w:rPr>
          <w:b/>
          <w:lang w:val="en-US"/>
        </w:rPr>
        <w:t xml:space="preserve"> along with ear-marked funding for increasing the rate of school enrolment and secondary school completion rates for indigenous children; </w:t>
      </w:r>
    </w:p>
    <w:p w:rsidR="00535A6F" w:rsidRPr="002D4C6A" w:rsidRDefault="00535A6F" w:rsidP="00535A6F">
      <w:pPr>
        <w:pStyle w:val="SingleTxtG"/>
        <w:ind w:firstLine="567"/>
        <w:rPr>
          <w:b/>
        </w:rPr>
      </w:pPr>
      <w:r w:rsidRPr="002D4C6A">
        <w:rPr>
          <w:b/>
        </w:rPr>
        <w:t>(</w:t>
      </w:r>
      <w:r>
        <w:rPr>
          <w:b/>
        </w:rPr>
        <w:t>g</w:t>
      </w:r>
      <w:r w:rsidRPr="002D4C6A">
        <w:rPr>
          <w:b/>
        </w:rPr>
        <w:t>)</w:t>
      </w:r>
      <w:r w:rsidRPr="002D4C6A">
        <w:rPr>
          <w:b/>
        </w:rPr>
        <w:tab/>
        <w:t>Take the necessary measures to improve the accessibility and quality of education, and provide quality training for teachers, with particular emphasis on rural areas;</w:t>
      </w:r>
      <w:r>
        <w:rPr>
          <w:b/>
        </w:rPr>
        <w:t xml:space="preserve"> and,</w:t>
      </w:r>
    </w:p>
    <w:p w:rsidR="002D4C6A" w:rsidRPr="002D4C6A" w:rsidRDefault="0068384C" w:rsidP="0068384C">
      <w:pPr>
        <w:pStyle w:val="SingleTxtG"/>
        <w:ind w:firstLine="567"/>
        <w:rPr>
          <w:b/>
        </w:rPr>
      </w:pPr>
      <w:r>
        <w:rPr>
          <w:b/>
        </w:rPr>
        <w:t>(</w:t>
      </w:r>
      <w:r w:rsidR="00535A6F">
        <w:rPr>
          <w:b/>
        </w:rPr>
        <w:t>h</w:t>
      </w:r>
      <w:r w:rsidR="002D4C6A" w:rsidRPr="002D4C6A">
        <w:rPr>
          <w:b/>
        </w:rPr>
        <w:t>)</w:t>
      </w:r>
      <w:r w:rsidR="002D4C6A" w:rsidRPr="002D4C6A">
        <w:rPr>
          <w:b/>
        </w:rPr>
        <w:tab/>
        <w:t>Allocate sufficient financial resources for the development and expansion of early childhood education, based on a comprehensive and holistic policy of early childhood care and development</w:t>
      </w:r>
      <w:r w:rsidR="00535A6F">
        <w:rPr>
          <w:b/>
        </w:rPr>
        <w:t>.</w:t>
      </w:r>
    </w:p>
    <w:p w:rsidR="002D4C6A" w:rsidRPr="002D4C6A" w:rsidRDefault="00727598" w:rsidP="00727598">
      <w:pPr>
        <w:pStyle w:val="H1G"/>
      </w:pPr>
      <w:r>
        <w:tab/>
        <w:t>H.</w:t>
      </w:r>
      <w:r>
        <w:tab/>
      </w:r>
      <w:r w:rsidR="002D4C6A" w:rsidRPr="002D4C6A">
        <w:t>Special protection measures (arts. 22, 30, 32-33, 35-36, 37 (b)-(d), 38, 39 and 40)</w:t>
      </w:r>
    </w:p>
    <w:p w:rsidR="002D4C6A" w:rsidRPr="002D4C6A" w:rsidRDefault="002D4C6A" w:rsidP="00727598">
      <w:pPr>
        <w:pStyle w:val="H23G"/>
      </w:pPr>
      <w:r w:rsidRPr="002D4C6A">
        <w:tab/>
      </w:r>
      <w:r w:rsidRPr="002D4C6A">
        <w:tab/>
        <w:t>Asylu</w:t>
      </w:r>
      <w:r w:rsidR="00265A6A">
        <w:t>m-seeking and refugee children</w:t>
      </w:r>
    </w:p>
    <w:p w:rsidR="002D4C6A" w:rsidRPr="0068384C" w:rsidRDefault="002D4C6A" w:rsidP="0068384C">
      <w:pPr>
        <w:pStyle w:val="SingleTxtG"/>
        <w:numPr>
          <w:ilvl w:val="0"/>
          <w:numId w:val="36"/>
        </w:numPr>
        <w:ind w:left="1134" w:firstLine="0"/>
      </w:pPr>
      <w:r w:rsidRPr="0068384C">
        <w:t xml:space="preserve">The Committee welcomes the State party’s strong cooperation with the United Nations High Commissioner for Refugees (UNHCR) on the issue of resettlement of refugees from Bhutan. However, the Committee regrets that despite its previous recommendations (CRC/C/15/Add.261, para. 80) the State party has not established a national refugee and </w:t>
      </w:r>
      <w:r w:rsidR="005C0AF3">
        <w:t>s</w:t>
      </w:r>
      <w:r w:rsidRPr="0068384C">
        <w:t>tatelessness legal protection framework. Furthermore, the Committee is concerned about:</w:t>
      </w:r>
    </w:p>
    <w:p w:rsidR="002D4C6A" w:rsidRPr="002D4C6A" w:rsidRDefault="002D4C6A" w:rsidP="0068384C">
      <w:pPr>
        <w:pStyle w:val="SingleTxtG"/>
        <w:tabs>
          <w:tab w:val="left" w:pos="720"/>
        </w:tabs>
        <w:ind w:firstLine="567"/>
      </w:pPr>
      <w:r w:rsidRPr="002D4C6A">
        <w:t>(a)</w:t>
      </w:r>
      <w:r w:rsidRPr="002D4C6A">
        <w:tab/>
        <w:t>Reports of forced returns of Tibetan families, including children, to China without proper assessment of their asylum claim;</w:t>
      </w:r>
    </w:p>
    <w:p w:rsidR="002D4C6A" w:rsidRPr="002D4C6A" w:rsidRDefault="002D4C6A" w:rsidP="0068384C">
      <w:pPr>
        <w:pStyle w:val="SingleTxtG"/>
        <w:tabs>
          <w:tab w:val="left" w:pos="720"/>
        </w:tabs>
        <w:ind w:firstLine="567"/>
      </w:pPr>
      <w:r w:rsidRPr="002D4C6A">
        <w:t>(b)</w:t>
      </w:r>
      <w:r w:rsidRPr="002D4C6A">
        <w:tab/>
        <w:t xml:space="preserve">The lack of refugee certificates and identity documents for Tibetan refugees born after 1979 and their children, and the resulting risk of statelessness; </w:t>
      </w:r>
    </w:p>
    <w:p w:rsidR="002D4C6A" w:rsidRPr="002D4C6A" w:rsidRDefault="002D4C6A" w:rsidP="0068384C">
      <w:pPr>
        <w:pStyle w:val="SingleTxtG"/>
        <w:tabs>
          <w:tab w:val="left" w:pos="720"/>
        </w:tabs>
        <w:ind w:firstLine="567"/>
      </w:pPr>
      <w:r w:rsidRPr="002D4C6A">
        <w:t>(c)</w:t>
      </w:r>
      <w:r w:rsidRPr="002D4C6A">
        <w:tab/>
        <w:t xml:space="preserve">The absence of universal birth registration for refugee and asylum-seeking children’s births and the barriers to receiving identification documents for </w:t>
      </w:r>
      <w:proofErr w:type="spellStart"/>
      <w:r w:rsidRPr="002D4C6A">
        <w:t>Bhutani</w:t>
      </w:r>
      <w:proofErr w:type="spellEnd"/>
      <w:r w:rsidRPr="002D4C6A">
        <w:t xml:space="preserve"> children, children belonging to the growing </w:t>
      </w:r>
      <w:proofErr w:type="spellStart"/>
      <w:r w:rsidRPr="002D4C6A">
        <w:t>Rohingya</w:t>
      </w:r>
      <w:proofErr w:type="spellEnd"/>
      <w:r w:rsidRPr="002D4C6A">
        <w:t xml:space="preserve"> Muslim population and children of non-Nepali mothers or mothers who cannot prove citizenship; and, </w:t>
      </w:r>
    </w:p>
    <w:p w:rsidR="002D4C6A" w:rsidRPr="002D4C6A" w:rsidRDefault="002D4C6A" w:rsidP="0068384C">
      <w:pPr>
        <w:pStyle w:val="SingleTxtG"/>
        <w:tabs>
          <w:tab w:val="left" w:pos="720"/>
        </w:tabs>
        <w:ind w:firstLine="567"/>
      </w:pPr>
      <w:r w:rsidRPr="002D4C6A">
        <w:t>(d)</w:t>
      </w:r>
      <w:r w:rsidRPr="002D4C6A">
        <w:tab/>
        <w:t>The lack of education for Tibetan refugee children.</w:t>
      </w:r>
    </w:p>
    <w:p w:rsidR="002D4C6A" w:rsidRPr="0068384C" w:rsidRDefault="002D4C6A" w:rsidP="0068384C">
      <w:pPr>
        <w:pStyle w:val="SingleTxtG"/>
        <w:numPr>
          <w:ilvl w:val="0"/>
          <w:numId w:val="36"/>
        </w:numPr>
        <w:ind w:left="1134" w:firstLine="0"/>
        <w:rPr>
          <w:b/>
        </w:rPr>
      </w:pPr>
      <w:r w:rsidRPr="0068384C">
        <w:rPr>
          <w:b/>
        </w:rPr>
        <w:t>The Committee reiterates its previous recommendations (CRC/C/15/Add.261, para. 80) and recommends that the State party:</w:t>
      </w:r>
    </w:p>
    <w:p w:rsidR="00535A6F" w:rsidRPr="002D4C6A" w:rsidRDefault="002D4C6A" w:rsidP="00535A6F">
      <w:pPr>
        <w:pStyle w:val="SingleTxtG"/>
        <w:tabs>
          <w:tab w:val="left" w:pos="720"/>
        </w:tabs>
        <w:ind w:firstLine="567"/>
        <w:rPr>
          <w:b/>
        </w:rPr>
      </w:pPr>
      <w:r w:rsidRPr="002D4C6A">
        <w:rPr>
          <w:b/>
        </w:rPr>
        <w:t>(a)</w:t>
      </w:r>
      <w:r w:rsidRPr="002D4C6A">
        <w:rPr>
          <w:b/>
        </w:rPr>
        <w:tab/>
      </w:r>
      <w:r w:rsidR="00535A6F" w:rsidRPr="002D4C6A">
        <w:rPr>
          <w:b/>
        </w:rPr>
        <w:t>Take legislative, administrative and institutional measures to ensure that all children are registered at birth, including children born to refugees and asylum-seekers;</w:t>
      </w:r>
    </w:p>
    <w:p w:rsidR="002D4C6A" w:rsidRPr="002D4C6A" w:rsidRDefault="00535A6F" w:rsidP="0068384C">
      <w:pPr>
        <w:pStyle w:val="SingleTxtG"/>
        <w:tabs>
          <w:tab w:val="left" w:pos="720"/>
        </w:tabs>
        <w:ind w:firstLine="567"/>
        <w:rPr>
          <w:b/>
        </w:rPr>
      </w:pPr>
      <w:r>
        <w:rPr>
          <w:b/>
        </w:rPr>
        <w:t xml:space="preserve">(b) </w:t>
      </w:r>
      <w:r w:rsidR="002D4C6A" w:rsidRPr="002D4C6A">
        <w:rPr>
          <w:b/>
        </w:rPr>
        <w:t>Adopt domestic legislation covering the rights of refugees and asylum seekers in line with international standards;</w:t>
      </w:r>
    </w:p>
    <w:p w:rsidR="002D4C6A" w:rsidRPr="002D4C6A" w:rsidRDefault="002D4C6A" w:rsidP="0068384C">
      <w:pPr>
        <w:pStyle w:val="SingleTxtG"/>
        <w:tabs>
          <w:tab w:val="left" w:pos="720"/>
        </w:tabs>
        <w:ind w:firstLine="567"/>
        <w:rPr>
          <w:b/>
          <w:bCs/>
        </w:rPr>
      </w:pPr>
      <w:r w:rsidRPr="002D4C6A">
        <w:rPr>
          <w:b/>
          <w:bCs/>
        </w:rPr>
        <w:t>(b)</w:t>
      </w:r>
      <w:r w:rsidRPr="002D4C6A">
        <w:rPr>
          <w:b/>
          <w:bCs/>
        </w:rPr>
        <w:tab/>
        <w:t>Seek to ensure, as a matter of priority, that all refugee and asylum-seeking children and their families have access to health and education services, and that all their rights contained in the Convention are protected, including the right to be registered at birth;</w:t>
      </w:r>
      <w:r w:rsidR="00535A6F">
        <w:rPr>
          <w:b/>
          <w:bCs/>
        </w:rPr>
        <w:t xml:space="preserve"> and,</w:t>
      </w:r>
    </w:p>
    <w:p w:rsidR="002D4C6A" w:rsidRPr="002D4C6A" w:rsidRDefault="002D4C6A" w:rsidP="0068384C">
      <w:pPr>
        <w:pStyle w:val="SingleTxtG"/>
        <w:tabs>
          <w:tab w:val="left" w:pos="720"/>
        </w:tabs>
        <w:ind w:firstLine="567"/>
        <w:rPr>
          <w:b/>
        </w:rPr>
      </w:pPr>
      <w:r w:rsidRPr="002D4C6A">
        <w:rPr>
          <w:b/>
        </w:rPr>
        <w:t>(c)</w:t>
      </w:r>
      <w:r w:rsidRPr="002D4C6A">
        <w:rPr>
          <w:b/>
        </w:rPr>
        <w:tab/>
        <w:t xml:space="preserve">Carry out a comprehensive registration exercise for the long-staying Tibetan population and their children in order to provide them with documentation and promote the enjoyment of their human rights, as well as access to basic services, as already recommended in the Committee’s previous </w:t>
      </w:r>
      <w:r w:rsidRPr="002D4C6A">
        <w:rPr>
          <w:b/>
          <w:i/>
          <w:iCs/>
        </w:rPr>
        <w:t>Concluding Observations</w:t>
      </w:r>
      <w:r w:rsidRPr="002D4C6A">
        <w:rPr>
          <w:b/>
        </w:rPr>
        <w:t xml:space="preserve"> (CRC/C/15/Add.261, paras. 43-44, 80)</w:t>
      </w:r>
      <w:r w:rsidR="00535A6F">
        <w:rPr>
          <w:b/>
        </w:rPr>
        <w:t>.</w:t>
      </w:r>
    </w:p>
    <w:p w:rsidR="002D4C6A" w:rsidRPr="002D4C6A" w:rsidRDefault="0068384C" w:rsidP="0068384C">
      <w:pPr>
        <w:pStyle w:val="H23G"/>
      </w:pPr>
      <w:r>
        <w:tab/>
      </w:r>
      <w:r>
        <w:tab/>
      </w:r>
      <w:r w:rsidR="002D4C6A" w:rsidRPr="002D4C6A">
        <w:t>Internally displaced children</w:t>
      </w:r>
    </w:p>
    <w:p w:rsidR="002D4C6A" w:rsidRPr="0068384C" w:rsidRDefault="002D4C6A" w:rsidP="0068384C">
      <w:pPr>
        <w:pStyle w:val="SingleTxtG"/>
        <w:numPr>
          <w:ilvl w:val="0"/>
          <w:numId w:val="36"/>
        </w:numPr>
        <w:ind w:left="1134" w:firstLine="0"/>
      </w:pPr>
      <w:r w:rsidRPr="0068384C">
        <w:t>The Committee welcomes the adoption of the National Policy on Internally Displaced Persons (IDP) (2007) and the efforts of the State party to find lasting solutions for children displaced by the 2015 earthquake. However, it is deeply concerned about the impact of the earthquake on children’s rights and about the high number of displaced children living in IDP camps or informal settlements without adequate access to food, safe drinking water, sanitation, health care and education</w:t>
      </w:r>
      <w:r w:rsidR="0068384C" w:rsidRPr="0068384C">
        <w:t>.</w:t>
      </w:r>
      <w:r w:rsidRPr="0068384C">
        <w:t xml:space="preserve"> </w:t>
      </w:r>
    </w:p>
    <w:p w:rsidR="002D4C6A" w:rsidRPr="0068384C" w:rsidRDefault="002D4C6A" w:rsidP="0068384C">
      <w:pPr>
        <w:pStyle w:val="SingleTxtG"/>
        <w:numPr>
          <w:ilvl w:val="0"/>
          <w:numId w:val="36"/>
        </w:numPr>
        <w:ind w:left="1134" w:firstLine="0"/>
        <w:rPr>
          <w:b/>
        </w:rPr>
      </w:pPr>
      <w:r w:rsidRPr="0068384C">
        <w:rPr>
          <w:b/>
        </w:rPr>
        <w:t xml:space="preserve">The Committee recommends that the State party: </w:t>
      </w:r>
    </w:p>
    <w:p w:rsidR="002D4C6A" w:rsidRPr="0068384C" w:rsidRDefault="002D4C6A" w:rsidP="0068384C">
      <w:pPr>
        <w:pStyle w:val="SingleTxtG"/>
        <w:ind w:firstLine="567"/>
        <w:rPr>
          <w:b/>
        </w:rPr>
      </w:pPr>
      <w:r w:rsidRPr="0068384C">
        <w:rPr>
          <w:b/>
        </w:rPr>
        <w:t>(a)</w:t>
      </w:r>
      <w:r w:rsidR="0068384C" w:rsidRPr="0068384C">
        <w:rPr>
          <w:b/>
        </w:rPr>
        <w:tab/>
      </w:r>
      <w:r w:rsidRPr="0068384C">
        <w:rPr>
          <w:b/>
          <w:bCs/>
        </w:rPr>
        <w:t xml:space="preserve">Expeditiously strengthen its efforts to provide adequate housing for internally displaced children and their families living in IDP camps or informal settlements and ensure that they have access to sufficient food, clean drinking water, sanitation, health care and education; </w:t>
      </w:r>
    </w:p>
    <w:p w:rsidR="002D4C6A" w:rsidRPr="0068384C" w:rsidRDefault="002D4C6A" w:rsidP="0068384C">
      <w:pPr>
        <w:pStyle w:val="SingleTxtG"/>
        <w:ind w:firstLine="567"/>
        <w:rPr>
          <w:b/>
        </w:rPr>
      </w:pPr>
      <w:r w:rsidRPr="0068384C">
        <w:rPr>
          <w:b/>
        </w:rPr>
        <w:t>(b)</w:t>
      </w:r>
      <w:r w:rsidR="0068384C" w:rsidRPr="0068384C">
        <w:rPr>
          <w:b/>
        </w:rPr>
        <w:tab/>
      </w:r>
      <w:r w:rsidRPr="0068384C">
        <w:rPr>
          <w:b/>
          <w:bCs/>
        </w:rPr>
        <w:t xml:space="preserve">Take immediate measures to prevent all forms of violence against displaced children, including by ensuring that women and girls have access to separate lockable latrines and safe houses, as well as by increasing police controls and providing functioning illumination in IDP camps and informal settlements; and, </w:t>
      </w:r>
    </w:p>
    <w:p w:rsidR="002D4C6A" w:rsidRPr="0068384C" w:rsidRDefault="002D4C6A" w:rsidP="0068384C">
      <w:pPr>
        <w:pStyle w:val="SingleTxtG"/>
        <w:ind w:firstLine="567"/>
        <w:rPr>
          <w:b/>
        </w:rPr>
      </w:pPr>
      <w:r w:rsidRPr="0068384C">
        <w:rPr>
          <w:b/>
        </w:rPr>
        <w:t>(c)</w:t>
      </w:r>
      <w:r w:rsidR="0068384C" w:rsidRPr="0068384C">
        <w:rPr>
          <w:b/>
        </w:rPr>
        <w:tab/>
      </w:r>
      <w:r w:rsidRPr="0068384C">
        <w:rPr>
          <w:b/>
        </w:rPr>
        <w:t xml:space="preserve">Ensure that children are informed and consulted about all stages of disaster response and preparedness. </w:t>
      </w:r>
    </w:p>
    <w:p w:rsidR="002D4C6A" w:rsidRPr="002D4C6A" w:rsidRDefault="00265A6A" w:rsidP="0068384C">
      <w:pPr>
        <w:pStyle w:val="H23G"/>
      </w:pPr>
      <w:r>
        <w:tab/>
      </w:r>
      <w:r>
        <w:tab/>
      </w:r>
      <w:r w:rsidR="002D4C6A" w:rsidRPr="002D4C6A">
        <w:t>Children belonging to minority or indigenous groups</w:t>
      </w:r>
    </w:p>
    <w:p w:rsidR="002D4C6A" w:rsidRPr="002D4C6A" w:rsidRDefault="002D4C6A" w:rsidP="0068384C">
      <w:pPr>
        <w:pStyle w:val="SingleTxtG"/>
        <w:numPr>
          <w:ilvl w:val="0"/>
          <w:numId w:val="36"/>
        </w:numPr>
        <w:ind w:left="1134" w:firstLine="0"/>
      </w:pPr>
      <w:r w:rsidRPr="002D4C6A">
        <w:t>The Committee welcomes the creation of the National Dalit Commission and the National Foundation for Development of Indigenous Nationalities (NFDIN). It is however concerned about:</w:t>
      </w:r>
    </w:p>
    <w:p w:rsidR="002D4C6A" w:rsidRPr="002D4C6A" w:rsidRDefault="002D4C6A" w:rsidP="0068384C">
      <w:pPr>
        <w:pStyle w:val="SingleTxtG"/>
        <w:ind w:firstLine="567"/>
      </w:pPr>
      <w:r w:rsidRPr="002D4C6A">
        <w:t>(a)</w:t>
      </w:r>
      <w:r w:rsidRPr="002D4C6A">
        <w:tab/>
        <w:t>The reports of discrimination against indigenous peoples and children, particularly on access to water, during rescue and relief efforts after the 2015 earthquake; and,</w:t>
      </w:r>
    </w:p>
    <w:p w:rsidR="002D4C6A" w:rsidRPr="002D4C6A" w:rsidRDefault="002D4C6A" w:rsidP="0068384C">
      <w:pPr>
        <w:pStyle w:val="SingleTxtG"/>
        <w:ind w:firstLine="567"/>
      </w:pPr>
      <w:r w:rsidRPr="002D4C6A">
        <w:t>(b)</w:t>
      </w:r>
      <w:r w:rsidRPr="002D4C6A">
        <w:tab/>
        <w:t>Denial of indigenous peoples’ free, prior and informed consent for resettlement and reconstruction decisions affecting them and their children after the 2015 earthquake.</w:t>
      </w:r>
    </w:p>
    <w:p w:rsidR="002D4C6A" w:rsidRPr="0068384C" w:rsidRDefault="002D4C6A" w:rsidP="0068384C">
      <w:pPr>
        <w:pStyle w:val="SingleTxtG"/>
        <w:numPr>
          <w:ilvl w:val="0"/>
          <w:numId w:val="36"/>
        </w:numPr>
        <w:ind w:left="1134" w:firstLine="0"/>
      </w:pPr>
      <w:r w:rsidRPr="0068384C">
        <w:t>The Committee recommends that the State Party:</w:t>
      </w:r>
    </w:p>
    <w:p w:rsidR="002D4C6A" w:rsidRPr="002D4C6A" w:rsidRDefault="002D4C6A" w:rsidP="0068384C">
      <w:pPr>
        <w:pStyle w:val="SingleTxtG"/>
        <w:tabs>
          <w:tab w:val="left" w:pos="720"/>
        </w:tabs>
        <w:ind w:firstLine="720"/>
        <w:rPr>
          <w:b/>
        </w:rPr>
      </w:pPr>
      <w:r w:rsidRPr="002D4C6A">
        <w:rPr>
          <w:b/>
        </w:rPr>
        <w:t>(a)</w:t>
      </w:r>
      <w:r w:rsidRPr="002D4C6A">
        <w:rPr>
          <w:b/>
        </w:rPr>
        <w:tab/>
        <w:t xml:space="preserve">Remove barriers in accessing water supply with particular attention to traditionally excluded groups, such as the </w:t>
      </w:r>
      <w:proofErr w:type="spellStart"/>
      <w:r w:rsidRPr="002D4C6A">
        <w:rPr>
          <w:b/>
        </w:rPr>
        <w:t>Madhesi</w:t>
      </w:r>
      <w:proofErr w:type="spellEnd"/>
      <w:r w:rsidRPr="002D4C6A">
        <w:rPr>
          <w:b/>
        </w:rPr>
        <w:t xml:space="preserve">, Dalit, and </w:t>
      </w:r>
      <w:proofErr w:type="spellStart"/>
      <w:r w:rsidRPr="002D4C6A">
        <w:rPr>
          <w:b/>
        </w:rPr>
        <w:t>Janajati</w:t>
      </w:r>
      <w:proofErr w:type="spellEnd"/>
      <w:r w:rsidRPr="002D4C6A">
        <w:rPr>
          <w:b/>
        </w:rPr>
        <w:t>; and,</w:t>
      </w:r>
    </w:p>
    <w:p w:rsidR="002D4C6A" w:rsidRPr="002D4C6A" w:rsidRDefault="002D4C6A" w:rsidP="0068384C">
      <w:pPr>
        <w:pStyle w:val="SingleTxtG"/>
        <w:tabs>
          <w:tab w:val="left" w:pos="720"/>
        </w:tabs>
        <w:ind w:firstLine="720"/>
        <w:rPr>
          <w:b/>
        </w:rPr>
      </w:pPr>
      <w:r w:rsidRPr="002D4C6A">
        <w:rPr>
          <w:b/>
        </w:rPr>
        <w:t>(b)</w:t>
      </w:r>
      <w:r w:rsidRPr="002D4C6A">
        <w:rPr>
          <w:b/>
        </w:rPr>
        <w:tab/>
      </w:r>
      <w:r w:rsidRPr="002D4C6A">
        <w:rPr>
          <w:b/>
          <w:bCs/>
        </w:rPr>
        <w:t>Consult and cooperate in good faith with the indigenous peoples concerned, including indigenous children, in order to obtain their free, prior and informed consent before adopting and implementing legislative or administrative measures that may affect them, and provide effective remedies in cases of violation of their rights, also in the context of rehabilitation efforts after the 2015 earthquake.</w:t>
      </w:r>
    </w:p>
    <w:p w:rsidR="002D4C6A" w:rsidRPr="002D4C6A" w:rsidRDefault="002D4C6A" w:rsidP="0068384C">
      <w:pPr>
        <w:pStyle w:val="SingleTxtG"/>
        <w:numPr>
          <w:ilvl w:val="0"/>
          <w:numId w:val="36"/>
        </w:numPr>
        <w:ind w:left="1134" w:firstLine="0"/>
      </w:pPr>
      <w:r w:rsidRPr="002D4C6A">
        <w:t>The Committee notes with satisfaction that the new Constitution recognizes indigenous children’s right to education in their mother tongues. However, it is concerned about:</w:t>
      </w:r>
    </w:p>
    <w:p w:rsidR="002D4C6A" w:rsidRPr="002D4C6A" w:rsidRDefault="002D4C6A" w:rsidP="0068384C">
      <w:pPr>
        <w:pStyle w:val="SingleTxtG"/>
        <w:tabs>
          <w:tab w:val="left" w:pos="1488"/>
        </w:tabs>
        <w:ind w:firstLine="567"/>
        <w:rPr>
          <w:lang w:val="x-none"/>
        </w:rPr>
      </w:pPr>
      <w:r w:rsidRPr="002D4C6A">
        <w:rPr>
          <w:lang w:val="x-none"/>
        </w:rPr>
        <w:t>(a)</w:t>
      </w:r>
      <w:r w:rsidRPr="002D4C6A">
        <w:rPr>
          <w:lang w:val="x-none"/>
        </w:rPr>
        <w:tab/>
      </w:r>
      <w:r w:rsidRPr="002D4C6A">
        <w:t xml:space="preserve">The lack of legal clarity on the responsibility to implement this right and the </w:t>
      </w:r>
      <w:r w:rsidRPr="002D4C6A">
        <w:rPr>
          <w:i/>
        </w:rPr>
        <w:t xml:space="preserve">de </w:t>
      </w:r>
      <w:r w:rsidRPr="002D4C6A">
        <w:t>facto suppression of indigenous children’s right to information and access to media in their native language;</w:t>
      </w:r>
    </w:p>
    <w:p w:rsidR="002D4C6A" w:rsidRPr="002D4C6A" w:rsidRDefault="002D4C6A" w:rsidP="0068384C">
      <w:pPr>
        <w:pStyle w:val="SingleTxtG"/>
        <w:tabs>
          <w:tab w:val="left" w:pos="1488"/>
        </w:tabs>
        <w:ind w:firstLine="567"/>
        <w:rPr>
          <w:lang w:val="x-none"/>
        </w:rPr>
      </w:pPr>
      <w:r w:rsidRPr="002D4C6A">
        <w:rPr>
          <w:lang w:val="x-none"/>
        </w:rPr>
        <w:t>(b)</w:t>
      </w:r>
      <w:r w:rsidRPr="002D4C6A">
        <w:rPr>
          <w:lang w:val="x-none"/>
        </w:rPr>
        <w:tab/>
      </w:r>
      <w:r w:rsidRPr="002D4C6A">
        <w:t>Dalit children, children belonging to minorities and Tibetan children, frequently suffering from hindrances to accessing education, health and social services;  insufficient quality and cultural appropriateness of health care accessible to indigenous children and their mothers, including after the 2015 earthquake; and, the resulting disproportionately high mortality rate of indigenous and Dalit children in comparison to other children in the State party;</w:t>
      </w:r>
    </w:p>
    <w:p w:rsidR="002D4C6A" w:rsidRPr="002D4C6A" w:rsidRDefault="002D4C6A" w:rsidP="0068384C">
      <w:pPr>
        <w:pStyle w:val="SingleTxtG"/>
        <w:tabs>
          <w:tab w:val="left" w:pos="1488"/>
        </w:tabs>
        <w:ind w:firstLine="567"/>
      </w:pPr>
      <w:r w:rsidRPr="002D4C6A">
        <w:t>(c)</w:t>
      </w:r>
      <w:r w:rsidRPr="002D4C6A">
        <w:tab/>
        <w:t xml:space="preserve">The lack of learning materials in the native languages of indigenous children, and their low school enrolment rates;  </w:t>
      </w:r>
    </w:p>
    <w:p w:rsidR="002D4C6A" w:rsidRPr="002D4C6A" w:rsidRDefault="002D4C6A" w:rsidP="0068384C">
      <w:pPr>
        <w:pStyle w:val="SingleTxtG"/>
        <w:tabs>
          <w:tab w:val="left" w:pos="1488"/>
        </w:tabs>
        <w:ind w:firstLine="567"/>
      </w:pPr>
      <w:r w:rsidRPr="002D4C6A">
        <w:t>(d)</w:t>
      </w:r>
      <w:r w:rsidRPr="002D4C6A">
        <w:tab/>
        <w:t>Widespread reports of violence, through bullying and/or teachers, against indigenous children in schools; and,</w:t>
      </w:r>
    </w:p>
    <w:p w:rsidR="002D4C6A" w:rsidRPr="002D4C6A" w:rsidRDefault="002D4C6A" w:rsidP="0068384C">
      <w:pPr>
        <w:pStyle w:val="SingleTxtG"/>
        <w:tabs>
          <w:tab w:val="left" w:pos="1488"/>
        </w:tabs>
        <w:ind w:firstLine="567"/>
      </w:pPr>
      <w:r w:rsidRPr="002D4C6A">
        <w:t>(e)</w:t>
      </w:r>
      <w:r w:rsidRPr="002D4C6A">
        <w:tab/>
        <w:t>The 2015 earthquake exacerbating the vulnerability of orphans, children of indigenous groups, religious minorities, the Dalit community and migra</w:t>
      </w:r>
      <w:r w:rsidR="0068384C">
        <w:t>nt workers to human trafficking.</w:t>
      </w:r>
    </w:p>
    <w:p w:rsidR="002D4C6A" w:rsidRPr="00265A6A" w:rsidRDefault="002D4C6A" w:rsidP="00265A6A">
      <w:pPr>
        <w:pStyle w:val="SingleTxtG"/>
        <w:numPr>
          <w:ilvl w:val="0"/>
          <w:numId w:val="36"/>
        </w:numPr>
        <w:ind w:left="1134" w:firstLine="0"/>
        <w:rPr>
          <w:b/>
        </w:rPr>
      </w:pPr>
      <w:r w:rsidRPr="00265A6A">
        <w:rPr>
          <w:b/>
        </w:rPr>
        <w:t>With reference to the Committee’s general comment No. 11 (2009) on indigenous children and their rights under the Convention, the Committee urges the State party to strengthen its efforts to ensure that all children, irrespective of their belonging to a caste, minority or indigenous group, enjoy the entire range of rights enshrined in the Convention. The Committee recommends that the State party:</w:t>
      </w:r>
    </w:p>
    <w:p w:rsidR="002D4C6A" w:rsidRPr="002D4C6A" w:rsidRDefault="002D4C6A" w:rsidP="00265A6A">
      <w:pPr>
        <w:pStyle w:val="SingleTxtG"/>
        <w:ind w:firstLine="567"/>
        <w:rPr>
          <w:b/>
        </w:rPr>
      </w:pPr>
      <w:r w:rsidRPr="002D4C6A">
        <w:rPr>
          <w:b/>
        </w:rPr>
        <w:t>(a)</w:t>
      </w:r>
      <w:r w:rsidRPr="002D4C6A">
        <w:rPr>
          <w:b/>
        </w:rPr>
        <w:tab/>
        <w:t xml:space="preserve">Enact legislation and reporting procedures to ensure the effective implementation of the Constitutional right of indigenous children to have meaningful access to information and media in their native language; </w:t>
      </w:r>
    </w:p>
    <w:p w:rsidR="002D4C6A" w:rsidRPr="002D4C6A" w:rsidRDefault="002D4C6A" w:rsidP="00265A6A">
      <w:pPr>
        <w:pStyle w:val="SingleTxtG"/>
        <w:ind w:firstLine="567"/>
        <w:rPr>
          <w:b/>
        </w:rPr>
      </w:pPr>
      <w:r w:rsidRPr="002D4C6A">
        <w:rPr>
          <w:b/>
        </w:rPr>
        <w:t>(b)</w:t>
      </w:r>
      <w:r w:rsidRPr="002D4C6A">
        <w:rPr>
          <w:b/>
        </w:rPr>
        <w:tab/>
        <w:t>Provide culturally and linguistically adapted awareness-raising campaigns and targeted support measures in Dalit, minority and Tibetan communities to ensure meaningful access to education, health and social services;</w:t>
      </w:r>
    </w:p>
    <w:p w:rsidR="002D4C6A" w:rsidRPr="002D4C6A" w:rsidRDefault="002D4C6A" w:rsidP="00265A6A">
      <w:pPr>
        <w:pStyle w:val="SingleTxtG"/>
        <w:ind w:firstLine="567"/>
        <w:rPr>
          <w:b/>
        </w:rPr>
      </w:pPr>
      <w:r w:rsidRPr="002D4C6A">
        <w:rPr>
          <w:b/>
        </w:rPr>
        <w:t>(c)</w:t>
      </w:r>
      <w:r w:rsidRPr="002D4C6A">
        <w:rPr>
          <w:b/>
        </w:rPr>
        <w:tab/>
        <w:t>Ensure the provision of educational syllabus in the native language of indigenous children;</w:t>
      </w:r>
    </w:p>
    <w:p w:rsidR="002D4C6A" w:rsidRPr="002D4C6A" w:rsidRDefault="002D4C6A" w:rsidP="00265A6A">
      <w:pPr>
        <w:pStyle w:val="SingleTxtG"/>
        <w:ind w:firstLine="567"/>
        <w:rPr>
          <w:b/>
        </w:rPr>
      </w:pPr>
      <w:r w:rsidRPr="002D4C6A">
        <w:rPr>
          <w:b/>
        </w:rPr>
        <w:t>(d)</w:t>
      </w:r>
      <w:r w:rsidRPr="002D4C6A">
        <w:rPr>
          <w:b/>
        </w:rPr>
        <w:tab/>
        <w:t>Establish accessible measures for reporting violence in schools and ensure adequate safeguards and commensurate sanctions against this; and,</w:t>
      </w:r>
    </w:p>
    <w:p w:rsidR="002D4C6A" w:rsidRPr="00265A6A" w:rsidRDefault="00265A6A" w:rsidP="00265A6A">
      <w:pPr>
        <w:pStyle w:val="SingleTxtG"/>
        <w:ind w:firstLine="567"/>
        <w:rPr>
          <w:b/>
        </w:rPr>
      </w:pPr>
      <w:r>
        <w:rPr>
          <w:b/>
        </w:rPr>
        <w:t>(d)</w:t>
      </w:r>
      <w:r>
        <w:rPr>
          <w:b/>
        </w:rPr>
        <w:tab/>
      </w:r>
      <w:r w:rsidR="002D4C6A" w:rsidRPr="002D4C6A">
        <w:rPr>
          <w:b/>
        </w:rPr>
        <w:t>Establish special units in the State party’s social services sections to ensure that the needs of orphans, indigenous children, religious or other minorities are addressed; in doing so, the State party should ensure these units are provided with adequate human, technical and financial resources and pay particular attention to the risk of human trafficking.</w:t>
      </w:r>
      <w:r w:rsidR="002D4C6A" w:rsidRPr="002D4C6A" w:rsidDel="007068D2">
        <w:rPr>
          <w:b/>
        </w:rPr>
        <w:t xml:space="preserve"> </w:t>
      </w:r>
    </w:p>
    <w:p w:rsidR="002D4C6A" w:rsidRPr="002D4C6A" w:rsidRDefault="00727598" w:rsidP="00727598">
      <w:pPr>
        <w:pStyle w:val="H23G"/>
      </w:pPr>
      <w:r>
        <w:tab/>
      </w:r>
      <w:r>
        <w:tab/>
      </w:r>
      <w:r w:rsidR="002D4C6A" w:rsidRPr="002D4C6A">
        <w:t xml:space="preserve">Economic exploitation, including child labour  </w:t>
      </w:r>
    </w:p>
    <w:p w:rsidR="002D4C6A" w:rsidRPr="00265A6A" w:rsidRDefault="002D4C6A" w:rsidP="00265A6A">
      <w:pPr>
        <w:pStyle w:val="SingleTxtG"/>
        <w:numPr>
          <w:ilvl w:val="0"/>
          <w:numId w:val="36"/>
        </w:numPr>
        <w:ind w:left="1134" w:firstLine="0"/>
      </w:pPr>
      <w:r w:rsidRPr="00265A6A">
        <w:t xml:space="preserve">The Committee is concerned about the prevalence of the child labour in the State party and </w:t>
      </w:r>
      <w:r w:rsidR="00EF145C">
        <w:t>notwithstanding</w:t>
      </w:r>
      <w:r w:rsidRPr="00265A6A">
        <w:t xml:space="preserve"> the ratification of International Labour Organisation Convention No. 182 on the Worst Forms of Child Labour Convention, there </w:t>
      </w:r>
      <w:r w:rsidR="00EF145C">
        <w:t>are</w:t>
      </w:r>
      <w:r w:rsidRPr="00265A6A">
        <w:t xml:space="preserve"> reportedly over 600.000 children involved in the worst forms of child labour. The Committee is also concerned about the continuity of practices that are forbidden by law, such as the </w:t>
      </w:r>
      <w:proofErr w:type="spellStart"/>
      <w:r w:rsidRPr="00265A6A">
        <w:t>Kamlari</w:t>
      </w:r>
      <w:proofErr w:type="spellEnd"/>
      <w:r w:rsidRPr="00265A6A">
        <w:t xml:space="preserve">. </w:t>
      </w:r>
    </w:p>
    <w:p w:rsidR="002D4C6A" w:rsidRPr="002D4C6A" w:rsidRDefault="002D4C6A" w:rsidP="00265A6A">
      <w:pPr>
        <w:pStyle w:val="SingleTxtG"/>
        <w:numPr>
          <w:ilvl w:val="0"/>
          <w:numId w:val="36"/>
        </w:numPr>
        <w:ind w:left="1134" w:firstLine="0"/>
        <w:rPr>
          <w:b/>
        </w:rPr>
      </w:pPr>
      <w:r w:rsidRPr="002D4C6A">
        <w:rPr>
          <w:b/>
        </w:rPr>
        <w:t>The Committee recommends that the State party:</w:t>
      </w:r>
    </w:p>
    <w:p w:rsidR="002D4C6A" w:rsidRPr="002D4C6A" w:rsidRDefault="002D4C6A" w:rsidP="00265A6A">
      <w:pPr>
        <w:pStyle w:val="SingleTxtG"/>
        <w:ind w:firstLine="567"/>
        <w:rPr>
          <w:b/>
        </w:rPr>
      </w:pPr>
      <w:r w:rsidRPr="002D4C6A">
        <w:rPr>
          <w:b/>
        </w:rPr>
        <w:t>(a)</w:t>
      </w:r>
      <w:r w:rsidR="00265A6A">
        <w:rPr>
          <w:b/>
        </w:rPr>
        <w:tab/>
      </w:r>
      <w:r w:rsidRPr="002D4C6A">
        <w:rPr>
          <w:b/>
        </w:rPr>
        <w:t>Amend the Child Labour Act and other relevant legislation so that the necessary regulation of child labour applies to all areas of work, including the Worst Forms of Child Labour and the informal sector;</w:t>
      </w:r>
    </w:p>
    <w:p w:rsidR="002D4C6A" w:rsidRPr="002D4C6A" w:rsidRDefault="002D4C6A" w:rsidP="00265A6A">
      <w:pPr>
        <w:pStyle w:val="SingleTxtG"/>
        <w:ind w:firstLine="567"/>
        <w:rPr>
          <w:b/>
        </w:rPr>
      </w:pPr>
      <w:r w:rsidRPr="002D4C6A">
        <w:rPr>
          <w:b/>
        </w:rPr>
        <w:t>(b)</w:t>
      </w:r>
      <w:r w:rsidR="00265A6A">
        <w:rPr>
          <w:b/>
        </w:rPr>
        <w:tab/>
      </w:r>
      <w:r w:rsidRPr="002D4C6A">
        <w:rPr>
          <w:b/>
        </w:rPr>
        <w:t>Strengthen the enforcement of existing legislation and policies to eradicate the practice of child bonded labour;</w:t>
      </w:r>
    </w:p>
    <w:p w:rsidR="002D4C6A" w:rsidRPr="002D4C6A" w:rsidRDefault="002D4C6A" w:rsidP="00265A6A">
      <w:pPr>
        <w:pStyle w:val="SingleTxtG"/>
        <w:ind w:firstLine="567"/>
        <w:rPr>
          <w:b/>
        </w:rPr>
      </w:pPr>
      <w:r w:rsidRPr="002D4C6A">
        <w:rPr>
          <w:b/>
        </w:rPr>
        <w:t>(c)</w:t>
      </w:r>
      <w:r w:rsidR="00265A6A">
        <w:rPr>
          <w:b/>
        </w:rPr>
        <w:tab/>
      </w:r>
      <w:r w:rsidRPr="002D4C6A">
        <w:rPr>
          <w:b/>
        </w:rPr>
        <w:t>Undertake preventive measures to ensure that those children who engage in labour do not work under harmful conditions and continue to have access to education;</w:t>
      </w:r>
    </w:p>
    <w:p w:rsidR="002D4C6A" w:rsidRPr="002D4C6A" w:rsidRDefault="002D4C6A" w:rsidP="00265A6A">
      <w:pPr>
        <w:pStyle w:val="SingleTxtG"/>
        <w:ind w:firstLine="567"/>
        <w:rPr>
          <w:b/>
        </w:rPr>
      </w:pPr>
      <w:r w:rsidRPr="002D4C6A">
        <w:rPr>
          <w:b/>
        </w:rPr>
        <w:t>(d)</w:t>
      </w:r>
      <w:r w:rsidR="00265A6A">
        <w:rPr>
          <w:b/>
        </w:rPr>
        <w:tab/>
      </w:r>
      <w:r w:rsidRPr="002D4C6A">
        <w:rPr>
          <w:b/>
        </w:rPr>
        <w:t xml:space="preserve">Fully implement all policies and legislation relevant to child labour, inter alia, through public awareness campaigns and education for the public on the protection of the rights of children; </w:t>
      </w:r>
    </w:p>
    <w:p w:rsidR="002D4C6A" w:rsidRPr="002D4C6A" w:rsidRDefault="002D4C6A" w:rsidP="00265A6A">
      <w:pPr>
        <w:pStyle w:val="SingleTxtG"/>
        <w:ind w:firstLine="567"/>
        <w:rPr>
          <w:b/>
        </w:rPr>
      </w:pPr>
      <w:r w:rsidRPr="002D4C6A">
        <w:rPr>
          <w:b/>
        </w:rPr>
        <w:t>(e)</w:t>
      </w:r>
      <w:r w:rsidR="00265A6A">
        <w:rPr>
          <w:b/>
        </w:rPr>
        <w:tab/>
      </w:r>
      <w:r w:rsidRPr="002D4C6A">
        <w:rPr>
          <w:b/>
        </w:rPr>
        <w:t xml:space="preserve">Strengthen the implementation of the </w:t>
      </w:r>
      <w:proofErr w:type="spellStart"/>
      <w:r w:rsidRPr="002D4C6A">
        <w:rPr>
          <w:b/>
        </w:rPr>
        <w:t>Kamaiya</w:t>
      </w:r>
      <w:proofErr w:type="spellEnd"/>
      <w:r w:rsidRPr="002D4C6A">
        <w:rPr>
          <w:b/>
        </w:rPr>
        <w:t xml:space="preserve"> Prohibition Act, </w:t>
      </w:r>
      <w:proofErr w:type="gramStart"/>
      <w:r w:rsidRPr="002D4C6A">
        <w:rPr>
          <w:b/>
        </w:rPr>
        <w:t>and  take</w:t>
      </w:r>
      <w:proofErr w:type="gramEnd"/>
      <w:r w:rsidRPr="002D4C6A">
        <w:rPr>
          <w:b/>
        </w:rPr>
        <w:t xml:space="preserve"> effective measures to ensure the social integration of emancipated </w:t>
      </w:r>
      <w:proofErr w:type="spellStart"/>
      <w:r w:rsidRPr="002D4C6A">
        <w:rPr>
          <w:b/>
        </w:rPr>
        <w:t>Kamaiya</w:t>
      </w:r>
      <w:proofErr w:type="spellEnd"/>
      <w:r w:rsidRPr="002D4C6A">
        <w:rPr>
          <w:b/>
        </w:rPr>
        <w:t xml:space="preserve"> workers; and,</w:t>
      </w:r>
    </w:p>
    <w:p w:rsidR="002D4C6A" w:rsidRPr="002D4C6A" w:rsidRDefault="002D4C6A" w:rsidP="00265A6A">
      <w:pPr>
        <w:pStyle w:val="SingleTxtG"/>
        <w:ind w:firstLine="567"/>
        <w:rPr>
          <w:b/>
        </w:rPr>
      </w:pPr>
      <w:r w:rsidRPr="002D4C6A">
        <w:rPr>
          <w:b/>
        </w:rPr>
        <w:t>(f)</w:t>
      </w:r>
      <w:r w:rsidR="00265A6A">
        <w:rPr>
          <w:b/>
        </w:rPr>
        <w:tab/>
      </w:r>
      <w:r w:rsidRPr="002D4C6A">
        <w:rPr>
          <w:b/>
        </w:rPr>
        <w:t>Seek technical assistance from the International Programme on the Elimination of Child Labour of the International Labour Office in this regard.</w:t>
      </w:r>
    </w:p>
    <w:p w:rsidR="002D4C6A" w:rsidRPr="002D4C6A" w:rsidRDefault="002D4C6A" w:rsidP="00727598">
      <w:pPr>
        <w:pStyle w:val="H23G"/>
        <w:rPr>
          <w:bCs/>
        </w:rPr>
      </w:pPr>
      <w:r w:rsidRPr="002D4C6A">
        <w:tab/>
      </w:r>
      <w:r w:rsidRPr="002D4C6A">
        <w:tab/>
        <w:t xml:space="preserve">Administration of juvenile justice  </w:t>
      </w:r>
    </w:p>
    <w:p w:rsidR="002D4C6A" w:rsidRPr="00265A6A" w:rsidRDefault="002D4C6A" w:rsidP="00265A6A">
      <w:pPr>
        <w:pStyle w:val="SingleTxtG"/>
        <w:numPr>
          <w:ilvl w:val="0"/>
          <w:numId w:val="36"/>
        </w:numPr>
        <w:ind w:left="1134" w:firstLine="0"/>
        <w:rPr>
          <w:b/>
        </w:rPr>
      </w:pPr>
      <w:r w:rsidRPr="002D4C6A">
        <w:rPr>
          <w:b/>
        </w:rPr>
        <w:t>The Committee reiterates its previous recommendation (CRC/C/15/Add.261, para. 99) for</w:t>
      </w:r>
      <w:r w:rsidRPr="00265A6A">
        <w:rPr>
          <w:b/>
        </w:rPr>
        <w:t xml:space="preserve"> the State party to review its legislation and policies to ensure the full implementation of juvenile justice standards, in particular article 37 (b) and article 40, paragraph 2 (b) (ii)-(iv) and (vii), of the Convention, as well as the United Nations Standard Minimum Rules for the Administration of Juvenile Justice (the Beijing Rules) (General Assembly resolution 40/33) and the United Nations Guidelines for the Prevention of Juvenile Delinquency (the Riyadh Guidelines) (General Assembly resolution 45/112), and in the light of the Committee’s 1995 day of general discussion on the administration of juvenile justice.  In this regard, the Committee recommends the State party, in particular to:</w:t>
      </w:r>
    </w:p>
    <w:p w:rsidR="002D4C6A" w:rsidRPr="002D4C6A" w:rsidRDefault="002D4C6A" w:rsidP="00265A6A">
      <w:pPr>
        <w:pStyle w:val="SingleTxtG"/>
        <w:ind w:firstLine="567"/>
        <w:rPr>
          <w:b/>
          <w:bCs/>
        </w:rPr>
      </w:pPr>
      <w:r w:rsidRPr="002D4C6A">
        <w:rPr>
          <w:b/>
          <w:bCs/>
        </w:rPr>
        <w:t>(a)</w:t>
      </w:r>
      <w:r w:rsidRPr="002D4C6A">
        <w:rPr>
          <w:b/>
          <w:bCs/>
        </w:rPr>
        <w:tab/>
        <w:t xml:space="preserve">Ensure that detained </w:t>
      </w:r>
      <w:r w:rsidR="005C0AF3">
        <w:rPr>
          <w:b/>
          <w:bCs/>
        </w:rPr>
        <w:t>children</w:t>
      </w:r>
      <w:r w:rsidRPr="002D4C6A">
        <w:rPr>
          <w:b/>
          <w:bCs/>
        </w:rPr>
        <w:t xml:space="preserve"> below 18 years are always separated from adults, and that deprivation of liberty is used only as a last resort, for the shortest appropriate time and in appropriate conditions;</w:t>
      </w:r>
    </w:p>
    <w:p w:rsidR="002D4C6A" w:rsidRPr="002D4C6A" w:rsidRDefault="002D4C6A" w:rsidP="00265A6A">
      <w:pPr>
        <w:pStyle w:val="SingleTxtG"/>
        <w:ind w:firstLine="567"/>
        <w:rPr>
          <w:b/>
          <w:bCs/>
        </w:rPr>
      </w:pPr>
      <w:r w:rsidRPr="002D4C6A">
        <w:rPr>
          <w:b/>
          <w:bCs/>
        </w:rPr>
        <w:t>(b)</w:t>
      </w:r>
      <w:r w:rsidRPr="002D4C6A">
        <w:rPr>
          <w:b/>
          <w:bCs/>
        </w:rPr>
        <w:tab/>
        <w:t xml:space="preserve">Expedite the construction of separate facilities (child correction centre) and separate cells in detention facilities for persons below 18 to ensure that they exist in all districts; </w:t>
      </w:r>
    </w:p>
    <w:p w:rsidR="002D4C6A" w:rsidRPr="002D4C6A" w:rsidRDefault="002D4C6A" w:rsidP="00265A6A">
      <w:pPr>
        <w:pStyle w:val="SingleTxtG"/>
        <w:ind w:firstLine="567"/>
        <w:rPr>
          <w:b/>
          <w:bCs/>
        </w:rPr>
      </w:pPr>
      <w:r w:rsidRPr="002D4C6A">
        <w:rPr>
          <w:b/>
          <w:bCs/>
        </w:rPr>
        <w:t>(c)</w:t>
      </w:r>
      <w:r w:rsidRPr="002D4C6A">
        <w:rPr>
          <w:b/>
          <w:bCs/>
        </w:rPr>
        <w:tab/>
        <w:t>In cases where deprivation of liberty is unavoidable and used as a last resort, for the shortest appropriate time, improve procedures of arrest and conditions of detention and establish special units within the police for the handling of cases of children in conflict with the law;</w:t>
      </w:r>
    </w:p>
    <w:p w:rsidR="002D4C6A" w:rsidRPr="002D4C6A" w:rsidRDefault="002D4C6A" w:rsidP="00265A6A">
      <w:pPr>
        <w:pStyle w:val="SingleTxtG"/>
        <w:ind w:firstLine="567"/>
        <w:rPr>
          <w:b/>
          <w:bCs/>
        </w:rPr>
      </w:pPr>
      <w:r w:rsidRPr="002D4C6A">
        <w:rPr>
          <w:b/>
          <w:bCs/>
        </w:rPr>
        <w:t>(d)</w:t>
      </w:r>
      <w:r w:rsidRPr="002D4C6A">
        <w:rPr>
          <w:b/>
          <w:bCs/>
        </w:rPr>
        <w:tab/>
        <w:t xml:space="preserve">Ensure that persons under 18 years are not held accountable, detained or prosecuted under anti-terrorism laws; </w:t>
      </w:r>
    </w:p>
    <w:p w:rsidR="002D4C6A" w:rsidRPr="002D4C6A" w:rsidRDefault="002D4C6A" w:rsidP="00265A6A">
      <w:pPr>
        <w:pStyle w:val="SingleTxtG"/>
        <w:ind w:firstLine="567"/>
        <w:rPr>
          <w:b/>
          <w:bCs/>
        </w:rPr>
      </w:pPr>
      <w:r w:rsidRPr="002D4C6A">
        <w:rPr>
          <w:b/>
          <w:bCs/>
        </w:rPr>
        <w:t>(e)</w:t>
      </w:r>
      <w:r w:rsidRPr="002D4C6A">
        <w:rPr>
          <w:b/>
          <w:bCs/>
        </w:rPr>
        <w:tab/>
        <w:t>Review, and where necessary amend, all (judicial, legal and protection) procedures, including those of District Administrative Offices, so as to ensure that all persons under 18 years who are alleged as, or been accused of, breaking the law are fully guaranteed the right to a fair trial provided for by article 40 (2) of the Convention;</w:t>
      </w:r>
    </w:p>
    <w:p w:rsidR="002D4C6A" w:rsidRPr="002D4C6A" w:rsidRDefault="002D4C6A" w:rsidP="00265A6A">
      <w:pPr>
        <w:pStyle w:val="SingleTxtG"/>
        <w:ind w:firstLine="567"/>
        <w:rPr>
          <w:b/>
          <w:bCs/>
        </w:rPr>
      </w:pPr>
      <w:r w:rsidRPr="002D4C6A">
        <w:rPr>
          <w:b/>
          <w:bCs/>
        </w:rPr>
        <w:t>(f)</w:t>
      </w:r>
      <w:r w:rsidRPr="002D4C6A">
        <w:rPr>
          <w:b/>
          <w:bCs/>
        </w:rPr>
        <w:tab/>
        <w:t>Provide formal training for judicial professionals on juvenile justice administration and human rights; and,</w:t>
      </w:r>
    </w:p>
    <w:p w:rsidR="002D4C6A" w:rsidRPr="002D4C6A" w:rsidRDefault="002D4C6A" w:rsidP="00265A6A">
      <w:pPr>
        <w:pStyle w:val="SingleTxtG"/>
        <w:ind w:firstLine="567"/>
        <w:rPr>
          <w:b/>
          <w:bCs/>
        </w:rPr>
      </w:pPr>
      <w:r w:rsidRPr="002D4C6A">
        <w:rPr>
          <w:b/>
          <w:bCs/>
        </w:rPr>
        <w:t>(g)</w:t>
      </w:r>
      <w:r w:rsidRPr="002D4C6A">
        <w:rPr>
          <w:b/>
          <w:bCs/>
        </w:rPr>
        <w:tab/>
        <w:t xml:space="preserve">Seek technical cooperation </w:t>
      </w:r>
      <w:proofErr w:type="gramStart"/>
      <w:r w:rsidRPr="002D4C6A">
        <w:rPr>
          <w:b/>
          <w:bCs/>
        </w:rPr>
        <w:t>from,</w:t>
      </w:r>
      <w:proofErr w:type="gramEnd"/>
      <w:r w:rsidRPr="002D4C6A">
        <w:rPr>
          <w:b/>
          <w:bCs/>
        </w:rPr>
        <w:t xml:space="preserve"> inter alia, UNICEF and OHCHR. </w:t>
      </w:r>
    </w:p>
    <w:p w:rsidR="002D4C6A" w:rsidRPr="002D4C6A" w:rsidRDefault="00265A6A" w:rsidP="00265A6A">
      <w:pPr>
        <w:pStyle w:val="H23G"/>
      </w:pPr>
      <w:r>
        <w:tab/>
      </w:r>
      <w:r>
        <w:tab/>
      </w:r>
      <w:r w:rsidR="002D4C6A" w:rsidRPr="002D4C6A">
        <w:t>Follow-up to the Committee’s previous concluding observations and recommendations on the Optional Protocol on the sale of children, child prostitution and child pornography</w:t>
      </w:r>
    </w:p>
    <w:p w:rsidR="002D4C6A" w:rsidRPr="00265A6A" w:rsidRDefault="002D4C6A" w:rsidP="00265A6A">
      <w:pPr>
        <w:pStyle w:val="SingleTxtG"/>
        <w:numPr>
          <w:ilvl w:val="0"/>
          <w:numId w:val="36"/>
        </w:numPr>
        <w:ind w:left="1134" w:firstLine="0"/>
        <w:rPr>
          <w:b/>
        </w:rPr>
      </w:pPr>
      <w:r w:rsidRPr="00265A6A">
        <w:rPr>
          <w:b/>
        </w:rPr>
        <w:t xml:space="preserve">The </w:t>
      </w:r>
      <w:r w:rsidR="0099136B">
        <w:rPr>
          <w:b/>
        </w:rPr>
        <w:t xml:space="preserve">Committee regrets the </w:t>
      </w:r>
      <w:r w:rsidRPr="00265A6A">
        <w:rPr>
          <w:b/>
        </w:rPr>
        <w:t xml:space="preserve">lack </w:t>
      </w:r>
      <w:proofErr w:type="gramStart"/>
      <w:r w:rsidRPr="00265A6A">
        <w:rPr>
          <w:b/>
        </w:rPr>
        <w:t>of  information</w:t>
      </w:r>
      <w:proofErr w:type="gramEnd"/>
      <w:r w:rsidRPr="00265A6A">
        <w:rPr>
          <w:b/>
        </w:rPr>
        <w:t xml:space="preserve"> on the implementation of its 2012 recommendations on the State party’s initial report under the </w:t>
      </w:r>
      <w:r w:rsidR="00265A6A">
        <w:rPr>
          <w:b/>
        </w:rPr>
        <w:t xml:space="preserve">Optional </w:t>
      </w:r>
      <w:r w:rsidRPr="00265A6A">
        <w:rPr>
          <w:b/>
        </w:rPr>
        <w:t xml:space="preserve">Protocol  to  the Convention on the sale of children, child prostitution and child pornography (CRC/C/OPSC/NPL/CO/1). </w:t>
      </w:r>
    </w:p>
    <w:p w:rsidR="00EF145C" w:rsidRDefault="002D4C6A" w:rsidP="00265A6A">
      <w:pPr>
        <w:pStyle w:val="SingleTxtG"/>
        <w:numPr>
          <w:ilvl w:val="0"/>
          <w:numId w:val="36"/>
        </w:numPr>
        <w:ind w:left="1134" w:firstLine="0"/>
        <w:rPr>
          <w:b/>
        </w:rPr>
      </w:pPr>
      <w:r w:rsidRPr="002D4C6A">
        <w:rPr>
          <w:b/>
        </w:rPr>
        <w:t xml:space="preserve">The Committee calls </w:t>
      </w:r>
      <w:r w:rsidR="00265A6A">
        <w:rPr>
          <w:b/>
        </w:rPr>
        <w:t xml:space="preserve">on the </w:t>
      </w:r>
      <w:r w:rsidRPr="002D4C6A">
        <w:rPr>
          <w:b/>
        </w:rPr>
        <w:t xml:space="preserve">State party to implement its previous recommendations, particularly those  relating to the following: </w:t>
      </w:r>
    </w:p>
    <w:p w:rsidR="00EF145C" w:rsidRDefault="00EF145C" w:rsidP="0099136B">
      <w:pPr>
        <w:pStyle w:val="SingleTxtG"/>
        <w:ind w:firstLine="567"/>
        <w:rPr>
          <w:b/>
        </w:rPr>
      </w:pPr>
      <w:r>
        <w:rPr>
          <w:b/>
        </w:rPr>
        <w:t>(a)</w:t>
      </w:r>
      <w:r w:rsidR="0099136B">
        <w:rPr>
          <w:b/>
        </w:rPr>
        <w:tab/>
      </w:r>
      <w:r>
        <w:rPr>
          <w:b/>
        </w:rPr>
        <w:t>E</w:t>
      </w:r>
      <w:r w:rsidR="002D4C6A" w:rsidRPr="002D4C6A">
        <w:rPr>
          <w:b/>
        </w:rPr>
        <w:t>nsuring that national legislation complies with articles</w:t>
      </w:r>
      <w:r w:rsidR="00265A6A">
        <w:rPr>
          <w:b/>
        </w:rPr>
        <w:t xml:space="preserve"> </w:t>
      </w:r>
      <w:r w:rsidR="002D4C6A" w:rsidRPr="002D4C6A">
        <w:rPr>
          <w:b/>
        </w:rPr>
        <w:t xml:space="preserve">2 and 3 of the Optional Protocol (see CRC/C/OPSC/NPL/CO/1, para. 30); </w:t>
      </w:r>
    </w:p>
    <w:p w:rsidR="00EF145C" w:rsidRDefault="00EF145C" w:rsidP="0099136B">
      <w:pPr>
        <w:pStyle w:val="SingleTxtG"/>
        <w:ind w:firstLine="567"/>
        <w:rPr>
          <w:b/>
        </w:rPr>
      </w:pPr>
      <w:r>
        <w:rPr>
          <w:b/>
        </w:rPr>
        <w:t>(b)</w:t>
      </w:r>
      <w:r w:rsidR="0099136B">
        <w:rPr>
          <w:b/>
        </w:rPr>
        <w:tab/>
      </w:r>
      <w:r>
        <w:rPr>
          <w:b/>
        </w:rPr>
        <w:t>R</w:t>
      </w:r>
      <w:r w:rsidR="002D4C6A" w:rsidRPr="002D4C6A">
        <w:rPr>
          <w:b/>
        </w:rPr>
        <w:t xml:space="preserve">epealing the provisions of the 1970 Public Offences and Control Act which are used to arrest and prosecute child victims and ensure that no child victim of any of the crimes under the Optional Protocol be criminalized (para. 32); </w:t>
      </w:r>
    </w:p>
    <w:p w:rsidR="00EF145C" w:rsidRDefault="00EF145C" w:rsidP="0099136B">
      <w:pPr>
        <w:pStyle w:val="SingleTxtG"/>
        <w:ind w:firstLine="567"/>
        <w:rPr>
          <w:b/>
        </w:rPr>
      </w:pPr>
      <w:r>
        <w:rPr>
          <w:b/>
        </w:rPr>
        <w:t>(c)</w:t>
      </w:r>
      <w:r w:rsidR="0099136B">
        <w:rPr>
          <w:b/>
        </w:rPr>
        <w:tab/>
      </w:r>
      <w:r>
        <w:rPr>
          <w:b/>
        </w:rPr>
        <w:t>E</w:t>
      </w:r>
      <w:r w:rsidR="002D4C6A" w:rsidRPr="002D4C6A">
        <w:rPr>
          <w:b/>
        </w:rPr>
        <w:t>nsuring that its domestic legislation enables it to establish and exercise extraterritorial jurisdiction over all crimes covered by the Optional Protoco</w:t>
      </w:r>
      <w:r w:rsidR="00265A6A">
        <w:rPr>
          <w:b/>
        </w:rPr>
        <w:t>l (para. 36);</w:t>
      </w:r>
      <w:r w:rsidR="002D4C6A" w:rsidRPr="002D4C6A">
        <w:rPr>
          <w:b/>
        </w:rPr>
        <w:t xml:space="preserve"> </w:t>
      </w:r>
      <w:r>
        <w:rPr>
          <w:b/>
        </w:rPr>
        <w:t xml:space="preserve">and, </w:t>
      </w:r>
    </w:p>
    <w:p w:rsidR="002D4C6A" w:rsidRPr="002D4C6A" w:rsidRDefault="00EF145C" w:rsidP="0099136B">
      <w:pPr>
        <w:pStyle w:val="SingleTxtG"/>
        <w:ind w:firstLine="567"/>
        <w:rPr>
          <w:b/>
        </w:rPr>
      </w:pPr>
      <w:r>
        <w:rPr>
          <w:b/>
        </w:rPr>
        <w:t>(d)</w:t>
      </w:r>
      <w:r w:rsidR="0099136B">
        <w:rPr>
          <w:b/>
        </w:rPr>
        <w:tab/>
      </w:r>
      <w:r>
        <w:rPr>
          <w:b/>
        </w:rPr>
        <w:t>E</w:t>
      </w:r>
      <w:r w:rsidR="002D4C6A" w:rsidRPr="002D4C6A">
        <w:rPr>
          <w:b/>
        </w:rPr>
        <w:t>nsuring appropriate measures to protect the rights and interests of child victims of the practices prohibited under the Optional Protocol at all stages of the criminal justice process (para. 40)</w:t>
      </w:r>
      <w:r w:rsidR="00265A6A">
        <w:rPr>
          <w:b/>
        </w:rPr>
        <w:t>.</w:t>
      </w:r>
    </w:p>
    <w:p w:rsidR="002D4C6A" w:rsidRPr="002D4C6A" w:rsidRDefault="002D4C6A" w:rsidP="00727598">
      <w:pPr>
        <w:pStyle w:val="H1G"/>
      </w:pPr>
      <w:r w:rsidRPr="002D4C6A">
        <w:tab/>
        <w:t>I.</w:t>
      </w:r>
      <w:r w:rsidRPr="002D4C6A">
        <w:tab/>
        <w:t>Ratification of the Optional Protocol on a communications procedure</w:t>
      </w:r>
    </w:p>
    <w:p w:rsidR="002D4C6A" w:rsidRPr="00265A6A" w:rsidRDefault="002D4C6A" w:rsidP="00265A6A">
      <w:pPr>
        <w:pStyle w:val="SingleTxtG"/>
        <w:numPr>
          <w:ilvl w:val="0"/>
          <w:numId w:val="36"/>
        </w:numPr>
        <w:ind w:left="1134" w:firstLine="0"/>
        <w:rPr>
          <w:b/>
        </w:rPr>
      </w:pPr>
      <w:r w:rsidRPr="002D4C6A">
        <w:rPr>
          <w:b/>
        </w:rPr>
        <w:t xml:space="preserve">The Committee recommends that the State party, in order to further strengthen the fulfilment of children’s rights, ratify </w:t>
      </w:r>
      <w:r w:rsidRPr="00265A6A">
        <w:rPr>
          <w:b/>
        </w:rPr>
        <w:t xml:space="preserve">the Optional Protocol to the Convention on the Rights of the Child on a communications procedure. </w:t>
      </w:r>
    </w:p>
    <w:p w:rsidR="002D4C6A" w:rsidRPr="002D4C6A" w:rsidRDefault="002D4C6A" w:rsidP="00727598">
      <w:pPr>
        <w:pStyle w:val="H1G"/>
      </w:pPr>
      <w:r w:rsidRPr="002D4C6A">
        <w:tab/>
        <w:t>J.</w:t>
      </w:r>
      <w:r w:rsidR="00727598">
        <w:tab/>
      </w:r>
      <w:r w:rsidRPr="002D4C6A">
        <w:t>Ratification of international human rights instruments</w:t>
      </w:r>
    </w:p>
    <w:p w:rsidR="002D4C6A" w:rsidRPr="00265A6A" w:rsidRDefault="002D4C6A" w:rsidP="00265A6A">
      <w:pPr>
        <w:pStyle w:val="SingleTxtG"/>
        <w:numPr>
          <w:ilvl w:val="0"/>
          <w:numId w:val="36"/>
        </w:numPr>
        <w:ind w:left="1134" w:firstLine="0"/>
        <w:rPr>
          <w:b/>
        </w:rPr>
      </w:pPr>
      <w:r w:rsidRPr="002D4C6A">
        <w:rPr>
          <w:b/>
        </w:rPr>
        <w:t xml:space="preserve">The Committee recommends that the State party, in order to further strengthen the fulfilment of children’s rights, ratify the core human rights instruments to which it is not yet a party, namely </w:t>
      </w:r>
      <w:r w:rsidRPr="00265A6A">
        <w:rPr>
          <w:b/>
        </w:rPr>
        <w:t>the Optional Protocol of the Convention against Torture and Other Cruel Inhuman or Degrading Treatment or Punishment;</w:t>
      </w:r>
      <w:r w:rsidRPr="002D4C6A">
        <w:rPr>
          <w:b/>
        </w:rPr>
        <w:t xml:space="preserve"> the C</w:t>
      </w:r>
      <w:r w:rsidRPr="00265A6A">
        <w:rPr>
          <w:b/>
        </w:rPr>
        <w:t>onvention for the Protection of All Persons from Enforced Disappearance; and the International Convention on the Protection of the Rights of All Migrant Workers and Members of Their Families.</w:t>
      </w:r>
    </w:p>
    <w:p w:rsidR="002D4C6A" w:rsidRPr="002D4C6A" w:rsidRDefault="002D4C6A" w:rsidP="00727598">
      <w:pPr>
        <w:pStyle w:val="HChG"/>
      </w:pPr>
      <w:r w:rsidRPr="002D4C6A">
        <w:tab/>
      </w:r>
      <w:r w:rsidR="00265A6A">
        <w:t>V.</w:t>
      </w:r>
      <w:r w:rsidR="00265A6A">
        <w:tab/>
        <w:t>Implementation and reporting</w:t>
      </w:r>
    </w:p>
    <w:p w:rsidR="002D4C6A" w:rsidRPr="002D4C6A" w:rsidRDefault="002D4C6A" w:rsidP="00727598">
      <w:pPr>
        <w:pStyle w:val="H1G"/>
      </w:pPr>
      <w:r w:rsidRPr="002D4C6A">
        <w:tab/>
        <w:t>K.</w:t>
      </w:r>
      <w:r w:rsidRPr="002D4C6A">
        <w:tab/>
        <w:t>Follow-up and dissemination</w:t>
      </w:r>
    </w:p>
    <w:p w:rsidR="002D4C6A" w:rsidRPr="00265A6A" w:rsidRDefault="002D4C6A" w:rsidP="00265A6A">
      <w:pPr>
        <w:pStyle w:val="SingleTxtG"/>
        <w:numPr>
          <w:ilvl w:val="0"/>
          <w:numId w:val="36"/>
        </w:numPr>
        <w:ind w:left="1134" w:firstLine="0"/>
        <w:rPr>
          <w:b/>
        </w:rPr>
      </w:pPr>
      <w:r w:rsidRPr="00265A6A">
        <w:rPr>
          <w:b/>
        </w:rPr>
        <w:t>The Committee recommends that the State party take all appropriate measures to ensure that the recommendations contained in the present concluding observations are fully implemented. The Committee also recommends that the combined third to fifth periodic report, the written replies to the list of issues of the State party and the present concluding observations be made widely available in the languages of the country.</w:t>
      </w:r>
    </w:p>
    <w:p w:rsidR="002D4C6A" w:rsidRPr="002D4C6A" w:rsidRDefault="002D4C6A" w:rsidP="00727598">
      <w:pPr>
        <w:pStyle w:val="H1G"/>
      </w:pPr>
      <w:r w:rsidRPr="002D4C6A">
        <w:tab/>
        <w:t>L.</w:t>
      </w:r>
      <w:r w:rsidRPr="002D4C6A">
        <w:tab/>
        <w:t xml:space="preserve">Next report </w:t>
      </w:r>
    </w:p>
    <w:p w:rsidR="002D4C6A" w:rsidRPr="00265A6A" w:rsidRDefault="002D4C6A" w:rsidP="00265A6A">
      <w:pPr>
        <w:pStyle w:val="SingleTxtG"/>
        <w:numPr>
          <w:ilvl w:val="0"/>
          <w:numId w:val="36"/>
        </w:numPr>
        <w:ind w:left="1134" w:firstLine="0"/>
        <w:rPr>
          <w:b/>
        </w:rPr>
      </w:pPr>
      <w:r w:rsidRPr="00265A6A">
        <w:rPr>
          <w:b/>
        </w:rPr>
        <w:t>The Committee invites</w:t>
      </w:r>
      <w:r w:rsidR="003C3DF5">
        <w:rPr>
          <w:b/>
        </w:rPr>
        <w:t xml:space="preserve"> the State party to submit its </w:t>
      </w:r>
      <w:r w:rsidRPr="00265A6A">
        <w:rPr>
          <w:b/>
        </w:rPr>
        <w:t>combined</w:t>
      </w:r>
      <w:r w:rsidR="003C3DF5">
        <w:rPr>
          <w:b/>
        </w:rPr>
        <w:t xml:space="preserve"> </w:t>
      </w:r>
      <w:r w:rsidR="00C23E37">
        <w:rPr>
          <w:b/>
        </w:rPr>
        <w:t>sixth and seventh periodic report</w:t>
      </w:r>
      <w:r w:rsidRPr="00265A6A">
        <w:rPr>
          <w:b/>
        </w:rPr>
        <w:t xml:space="preserve">s by </w:t>
      </w:r>
      <w:r w:rsidR="00C23E37">
        <w:rPr>
          <w:b/>
        </w:rPr>
        <w:t>13 October 202</w:t>
      </w:r>
      <w:r w:rsidR="005B336A">
        <w:rPr>
          <w:b/>
        </w:rPr>
        <w:t>1</w:t>
      </w:r>
      <w:r w:rsidRPr="00265A6A">
        <w:rPr>
          <w:b/>
        </w:rPr>
        <w:t xml:space="preserve"> and to include therein information on the follow-up to the present concluding observations. The report should be in compliance with the Committee’s harmonized treaty-specific reporting guidelines adopted on 31 January 2014 (CRC/C/58/Rev.3) and should not exceed 21,200 words (see General Assembly resolution 68/268, para. 16). In the event that a report exceeding the established word limit is submitted, the State party will be asked to shorten the report in accordance with the above-mentioned resolution. If the State party is not in a position to review and resubmit the report, translation thereof for the purposes of consideration by the treaty body cannot be guaranteed.</w:t>
      </w:r>
    </w:p>
    <w:p w:rsidR="002D4C6A" w:rsidRDefault="002D4C6A" w:rsidP="00265A6A">
      <w:pPr>
        <w:pStyle w:val="SingleTxtG"/>
        <w:numPr>
          <w:ilvl w:val="0"/>
          <w:numId w:val="36"/>
        </w:numPr>
        <w:ind w:left="1134" w:firstLine="0"/>
        <w:rPr>
          <w:b/>
        </w:rPr>
      </w:pPr>
      <w:r w:rsidRPr="00265A6A">
        <w:rPr>
          <w:b/>
        </w:rPr>
        <w:t>The Committee also invites the State party to submit an updated core document, not exceeding 42,400 words, in accordance with the requirements for the common core document in the harmonized guidelines on reporting under the international human rights treaties, including guidelines on a common core document and treaty-specific documents (HRI/GEN/2/Rev.6, chap. I) and General Assembly resolution 68/268 (para. 16).</w:t>
      </w:r>
    </w:p>
    <w:p w:rsidR="00265A6A" w:rsidRPr="00265A6A" w:rsidRDefault="00265A6A" w:rsidP="00265A6A">
      <w:pPr>
        <w:pStyle w:val="SingleTxtG"/>
        <w:spacing w:before="240" w:after="0"/>
        <w:jc w:val="center"/>
        <w:rPr>
          <w:b/>
          <w:u w:val="single"/>
        </w:rPr>
      </w:pPr>
      <w:r>
        <w:rPr>
          <w:b/>
          <w:u w:val="single"/>
        </w:rPr>
        <w:tab/>
      </w:r>
      <w:r>
        <w:rPr>
          <w:b/>
          <w:u w:val="single"/>
        </w:rPr>
        <w:tab/>
      </w:r>
      <w:r>
        <w:rPr>
          <w:b/>
          <w:u w:val="single"/>
        </w:rPr>
        <w:tab/>
      </w:r>
    </w:p>
    <w:sectPr w:rsidR="00265A6A" w:rsidRPr="00265A6A" w:rsidSect="002D4C6A">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6A" w:rsidRDefault="002D4C6A"/>
  </w:endnote>
  <w:endnote w:type="continuationSeparator" w:id="0">
    <w:p w:rsidR="002D4C6A" w:rsidRDefault="002D4C6A"/>
  </w:endnote>
  <w:endnote w:type="continuationNotice" w:id="1">
    <w:p w:rsidR="002D4C6A" w:rsidRDefault="002D4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6A" w:rsidRPr="002D4C6A" w:rsidRDefault="002D4C6A" w:rsidP="002D4C6A">
    <w:pPr>
      <w:pStyle w:val="Footer"/>
      <w:tabs>
        <w:tab w:val="right" w:pos="9638"/>
      </w:tabs>
    </w:pPr>
    <w:r w:rsidRPr="002D4C6A">
      <w:rPr>
        <w:b/>
        <w:sz w:val="18"/>
      </w:rPr>
      <w:fldChar w:fldCharType="begin"/>
    </w:r>
    <w:r w:rsidRPr="002D4C6A">
      <w:rPr>
        <w:b/>
        <w:sz w:val="18"/>
      </w:rPr>
      <w:instrText xml:space="preserve"> PAGE  \* MERGEFORMAT </w:instrText>
    </w:r>
    <w:r w:rsidRPr="002D4C6A">
      <w:rPr>
        <w:b/>
        <w:sz w:val="18"/>
      </w:rPr>
      <w:fldChar w:fldCharType="separate"/>
    </w:r>
    <w:r w:rsidR="00D90876">
      <w:rPr>
        <w:b/>
        <w:noProof/>
        <w:sz w:val="18"/>
      </w:rPr>
      <w:t>20</w:t>
    </w:r>
    <w:r w:rsidRPr="002D4C6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6A" w:rsidRPr="002D4C6A" w:rsidRDefault="002D4C6A" w:rsidP="002D4C6A">
    <w:pPr>
      <w:pStyle w:val="Footer"/>
      <w:tabs>
        <w:tab w:val="right" w:pos="9638"/>
      </w:tabs>
      <w:rPr>
        <w:b/>
        <w:sz w:val="18"/>
      </w:rPr>
    </w:pPr>
    <w:r>
      <w:tab/>
    </w:r>
    <w:r w:rsidRPr="002D4C6A">
      <w:rPr>
        <w:b/>
        <w:sz w:val="18"/>
      </w:rPr>
      <w:fldChar w:fldCharType="begin"/>
    </w:r>
    <w:r w:rsidRPr="002D4C6A">
      <w:rPr>
        <w:b/>
        <w:sz w:val="18"/>
      </w:rPr>
      <w:instrText xml:space="preserve"> PAGE  \* MERGEFORMAT </w:instrText>
    </w:r>
    <w:r w:rsidRPr="002D4C6A">
      <w:rPr>
        <w:b/>
        <w:sz w:val="18"/>
      </w:rPr>
      <w:fldChar w:fldCharType="separate"/>
    </w:r>
    <w:r w:rsidR="00D90876">
      <w:rPr>
        <w:b/>
        <w:noProof/>
        <w:sz w:val="18"/>
      </w:rPr>
      <w:t>21</w:t>
    </w:r>
    <w:r w:rsidRPr="002D4C6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E72" w:rsidRPr="002D4C6A" w:rsidRDefault="00DD3A30">
    <w:r>
      <w:rPr>
        <w:noProof/>
        <w:lang w:eastAsia="en-GB"/>
      </w:rPr>
      <w:drawing>
        <wp:anchor distT="0" distB="0" distL="114300" distR="114300" simplePos="0" relativeHeight="251657728" behindDoc="0" locked="1" layoutInCell="1" allowOverlap="1" wp14:anchorId="48258BB5" wp14:editId="636D8C72">
          <wp:simplePos x="0" y="0"/>
          <wp:positionH relativeFrom="column">
            <wp:posOffset>5148580</wp:posOffset>
          </wp:positionH>
          <wp:positionV relativeFrom="paragraph">
            <wp:posOffset>-79375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2D4C6A">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6A" w:rsidRPr="000B175B" w:rsidRDefault="002D4C6A" w:rsidP="000B175B">
      <w:pPr>
        <w:tabs>
          <w:tab w:val="right" w:pos="2155"/>
        </w:tabs>
        <w:spacing w:after="80"/>
        <w:ind w:left="680"/>
        <w:rPr>
          <w:u w:val="single"/>
        </w:rPr>
      </w:pPr>
      <w:r>
        <w:rPr>
          <w:u w:val="single"/>
        </w:rPr>
        <w:tab/>
      </w:r>
    </w:p>
  </w:footnote>
  <w:footnote w:type="continuationSeparator" w:id="0">
    <w:p w:rsidR="002D4C6A" w:rsidRPr="00FC68B7" w:rsidRDefault="002D4C6A" w:rsidP="00FC68B7">
      <w:pPr>
        <w:tabs>
          <w:tab w:val="left" w:pos="2155"/>
        </w:tabs>
        <w:spacing w:after="80"/>
        <w:ind w:left="680"/>
        <w:rPr>
          <w:u w:val="single"/>
        </w:rPr>
      </w:pPr>
      <w:r>
        <w:rPr>
          <w:u w:val="single"/>
        </w:rPr>
        <w:tab/>
      </w:r>
    </w:p>
  </w:footnote>
  <w:footnote w:type="continuationNotice" w:id="1">
    <w:p w:rsidR="002D4C6A" w:rsidRDefault="002D4C6A"/>
  </w:footnote>
  <w:footnote w:id="2">
    <w:p w:rsidR="00265A6A" w:rsidRPr="004B3C66" w:rsidRDefault="00265A6A" w:rsidP="00265A6A">
      <w:pPr>
        <w:pStyle w:val="FootnoteText"/>
      </w:pPr>
      <w:r>
        <w:tab/>
      </w:r>
      <w:r w:rsidRPr="004D547E">
        <w:rPr>
          <w:rStyle w:val="FootnoteReference"/>
          <w:sz w:val="20"/>
          <w:vertAlign w:val="baseline"/>
        </w:rPr>
        <w:t>*</w:t>
      </w:r>
      <w:r>
        <w:rPr>
          <w:sz w:val="20"/>
        </w:rPr>
        <w:tab/>
      </w:r>
      <w:proofErr w:type="gramStart"/>
      <w:r w:rsidRPr="00E057FE">
        <w:t xml:space="preserve">Adopted </w:t>
      </w:r>
      <w:r w:rsidRPr="000B308D">
        <w:t>by the Committee at its seventy-</w:t>
      </w:r>
      <w:r w:rsidR="00A62942">
        <w:t>second</w:t>
      </w:r>
      <w:r w:rsidRPr="000B308D">
        <w:t xml:space="preserve"> session (</w:t>
      </w:r>
      <w:r w:rsidR="00A62942">
        <w:t>17 May-3</w:t>
      </w:r>
      <w:r w:rsidRPr="000B308D">
        <w:t xml:space="preserve"> J</w:t>
      </w:r>
      <w:r w:rsidR="00A62942">
        <w:t>une</w:t>
      </w:r>
      <w:r w:rsidRPr="000B308D">
        <w:t xml:space="preserve"> 2016).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6A" w:rsidRPr="002D4C6A" w:rsidRDefault="002D4C6A">
    <w:pPr>
      <w:pStyle w:val="Header"/>
    </w:pPr>
    <w:r>
      <w:t>CRC/C/NPL/CO/3-5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6A" w:rsidRPr="002D4C6A" w:rsidRDefault="002D4C6A" w:rsidP="002D4C6A">
    <w:pPr>
      <w:pStyle w:val="Header"/>
      <w:jc w:val="right"/>
    </w:pPr>
    <w:r>
      <w:t>CRC/C/NPL/CO/3-5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B64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2"/>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985FE8"/>
    <w:multiLevelType w:val="hybridMultilevel"/>
    <w:tmpl w:val="ED6CF55C"/>
    <w:lvl w:ilvl="0" w:tplc="1F5C9782">
      <w:start w:val="3"/>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093911B4"/>
    <w:multiLevelType w:val="hybridMultilevel"/>
    <w:tmpl w:val="64B4E980"/>
    <w:lvl w:ilvl="0" w:tplc="2C448DDA">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09727AF3"/>
    <w:multiLevelType w:val="hybridMultilevel"/>
    <w:tmpl w:val="575A8DB4"/>
    <w:lvl w:ilvl="0" w:tplc="BD54B0E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0B6146C0"/>
    <w:multiLevelType w:val="hybridMultilevel"/>
    <w:tmpl w:val="E05CAB00"/>
    <w:lvl w:ilvl="0" w:tplc="1342467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0D7C0D23"/>
    <w:multiLevelType w:val="hybridMultilevel"/>
    <w:tmpl w:val="36BAD5AA"/>
    <w:lvl w:ilvl="0" w:tplc="EDAA2B3E">
      <w:start w:val="1"/>
      <w:numFmt w:val="lowerLetter"/>
      <w:lvlText w:val="(%1)"/>
      <w:lvlJc w:val="left"/>
      <w:pPr>
        <w:ind w:left="2010" w:hanging="360"/>
      </w:pPr>
      <w:rPr>
        <w:rFonts w:hint="default"/>
      </w:rPr>
    </w:lvl>
    <w:lvl w:ilvl="1" w:tplc="EDAA2B3E">
      <w:start w:val="1"/>
      <w:numFmt w:val="lowerLetter"/>
      <w:lvlText w:val="(%2)"/>
      <w:lvlJc w:val="left"/>
      <w:pPr>
        <w:ind w:left="2730" w:hanging="360"/>
      </w:pPr>
      <w:rPr>
        <w:rFonts w:hint="default"/>
      </w:r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8">
    <w:nsid w:val="11EF2202"/>
    <w:multiLevelType w:val="hybridMultilevel"/>
    <w:tmpl w:val="91607EDC"/>
    <w:lvl w:ilvl="0" w:tplc="11100156">
      <w:start w:val="1"/>
      <w:numFmt w:val="upperRoman"/>
      <w:lvlText w:val="%1."/>
      <w:lvlJc w:val="left"/>
      <w:pPr>
        <w:ind w:left="1855" w:hanging="72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9">
    <w:nsid w:val="12573EB0"/>
    <w:multiLevelType w:val="hybridMultilevel"/>
    <w:tmpl w:val="B58C32E8"/>
    <w:lvl w:ilvl="0" w:tplc="95A214C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16241901"/>
    <w:multiLevelType w:val="hybridMultilevel"/>
    <w:tmpl w:val="4350D5BA"/>
    <w:lvl w:ilvl="0" w:tplc="8B0CBA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225744"/>
    <w:multiLevelType w:val="hybridMultilevel"/>
    <w:tmpl w:val="1D5E0770"/>
    <w:lvl w:ilvl="0" w:tplc="964EC7A0">
      <w:start w:val="1"/>
      <w:numFmt w:val="lowerLetter"/>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nsid w:val="234411D9"/>
    <w:multiLevelType w:val="hybridMultilevel"/>
    <w:tmpl w:val="07CA3256"/>
    <w:lvl w:ilvl="0" w:tplc="8AB2396A">
      <w:start w:val="1"/>
      <w:numFmt w:val="lowerLetter"/>
      <w:lvlText w:val="(%1)"/>
      <w:lvlJc w:val="left"/>
      <w:pPr>
        <w:ind w:left="2826" w:hanging="1125"/>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nsid w:val="23C91574"/>
    <w:multiLevelType w:val="hybridMultilevel"/>
    <w:tmpl w:val="D53C0E24"/>
    <w:lvl w:ilvl="0" w:tplc="04B4C4C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26000A56"/>
    <w:multiLevelType w:val="hybridMultilevel"/>
    <w:tmpl w:val="2DCA0498"/>
    <w:lvl w:ilvl="0" w:tplc="2098EDE6">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nsid w:val="29A725DB"/>
    <w:multiLevelType w:val="hybridMultilevel"/>
    <w:tmpl w:val="6C206994"/>
    <w:lvl w:ilvl="0" w:tplc="3C8058F6">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2B797E4C"/>
    <w:multiLevelType w:val="hybridMultilevel"/>
    <w:tmpl w:val="5D329970"/>
    <w:lvl w:ilvl="0" w:tplc="1C72A7AE">
      <w:start w:val="1"/>
      <w:numFmt w:val="lowerLetter"/>
      <w:lvlText w:val="(%1)"/>
      <w:lvlJc w:val="left"/>
      <w:pPr>
        <w:ind w:left="1144" w:hanging="435"/>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2CCD6F0B"/>
    <w:multiLevelType w:val="hybridMultilevel"/>
    <w:tmpl w:val="2BF26236"/>
    <w:lvl w:ilvl="0" w:tplc="1A00E54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1F95316"/>
    <w:multiLevelType w:val="hybridMultilevel"/>
    <w:tmpl w:val="7B2CE6AE"/>
    <w:lvl w:ilvl="0" w:tplc="7BCE1FB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321B78B4"/>
    <w:multiLevelType w:val="hybridMultilevel"/>
    <w:tmpl w:val="FAE01310"/>
    <w:lvl w:ilvl="0" w:tplc="8CE4947C">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0">
    <w:nsid w:val="3C223601"/>
    <w:multiLevelType w:val="hybridMultilevel"/>
    <w:tmpl w:val="E6248A4A"/>
    <w:lvl w:ilvl="0" w:tplc="EDAA2B3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nsid w:val="3F0C7077"/>
    <w:multiLevelType w:val="hybridMultilevel"/>
    <w:tmpl w:val="BCFECF28"/>
    <w:lvl w:ilvl="0" w:tplc="EDAA2B3E">
      <w:start w:val="1"/>
      <w:numFmt w:val="lowerLetter"/>
      <w:lvlText w:val="(%1)"/>
      <w:lvlJc w:val="left"/>
      <w:pPr>
        <w:ind w:left="2010" w:hanging="36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2">
    <w:nsid w:val="401D583A"/>
    <w:multiLevelType w:val="hybridMultilevel"/>
    <w:tmpl w:val="5BBE1E54"/>
    <w:lvl w:ilvl="0" w:tplc="6EE829D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07F17E4"/>
    <w:multiLevelType w:val="hybridMultilevel"/>
    <w:tmpl w:val="F2067298"/>
    <w:lvl w:ilvl="0" w:tplc="3320AB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246EA0"/>
    <w:multiLevelType w:val="hybridMultilevel"/>
    <w:tmpl w:val="D87CCBDC"/>
    <w:lvl w:ilvl="0" w:tplc="6EE829D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B571530"/>
    <w:multiLevelType w:val="hybridMultilevel"/>
    <w:tmpl w:val="1D26A63E"/>
    <w:lvl w:ilvl="0" w:tplc="0096EA18">
      <w:start w:val="2"/>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4E485762"/>
    <w:multiLevelType w:val="hybridMultilevel"/>
    <w:tmpl w:val="11A67916"/>
    <w:lvl w:ilvl="0" w:tplc="C8422980">
      <w:start w:val="1"/>
      <w:numFmt w:val="decimal"/>
      <w:lvlText w:val="%1."/>
      <w:lvlJc w:val="left"/>
      <w:pPr>
        <w:ind w:left="1854" w:hanging="360"/>
      </w:pPr>
      <w:rPr>
        <w:b w:val="0"/>
      </w:rPr>
    </w:lvl>
    <w:lvl w:ilvl="1" w:tplc="E9564EEC">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nsid w:val="53F80C9D"/>
    <w:multiLevelType w:val="hybridMultilevel"/>
    <w:tmpl w:val="25B4D470"/>
    <w:lvl w:ilvl="0" w:tplc="5A025E02">
      <w:start w:val="1"/>
      <w:numFmt w:val="decimal"/>
      <w:lvlText w:val="%1."/>
      <w:lvlJc w:val="left"/>
      <w:pPr>
        <w:ind w:left="1778" w:hanging="360"/>
      </w:pPr>
      <w:rPr>
        <w:b w:val="0"/>
      </w:rPr>
    </w:lvl>
    <w:lvl w:ilvl="1" w:tplc="8A08CBE8">
      <w:start w:val="1"/>
      <w:numFmt w:val="lowerLetter"/>
      <w:lvlText w:val="(%2)"/>
      <w:lvlJc w:val="right"/>
      <w:pPr>
        <w:ind w:left="2574" w:hanging="360"/>
      </w:pPr>
      <w:rPr>
        <w:rFonts w:ascii="Times New Roman" w:eastAsia="Times New Roman" w:hAnsi="Times New Roman" w:cs="Times New Roman" w:hint="default"/>
      </w:r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nsid w:val="581F56A1"/>
    <w:multiLevelType w:val="hybridMultilevel"/>
    <w:tmpl w:val="A89E5520"/>
    <w:lvl w:ilvl="0" w:tplc="3B6AA67E">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5B5A4FC2"/>
    <w:multiLevelType w:val="hybridMultilevel"/>
    <w:tmpl w:val="235CF762"/>
    <w:lvl w:ilvl="0" w:tplc="070A6F9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nsid w:val="5C8F2288"/>
    <w:multiLevelType w:val="hybridMultilevel"/>
    <w:tmpl w:val="B4BC2484"/>
    <w:lvl w:ilvl="0" w:tplc="E800FF60">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nsid w:val="5D8C037E"/>
    <w:multiLevelType w:val="hybridMultilevel"/>
    <w:tmpl w:val="66C4FA9A"/>
    <w:lvl w:ilvl="0" w:tplc="2494A6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66C1964"/>
    <w:multiLevelType w:val="hybridMultilevel"/>
    <w:tmpl w:val="AE9C30AC"/>
    <w:lvl w:ilvl="0" w:tplc="CC54315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A4A5E9B"/>
    <w:multiLevelType w:val="hybridMultilevel"/>
    <w:tmpl w:val="FFB21248"/>
    <w:lvl w:ilvl="0" w:tplc="124682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nsid w:val="6AC974D3"/>
    <w:multiLevelType w:val="hybridMultilevel"/>
    <w:tmpl w:val="D25C9066"/>
    <w:lvl w:ilvl="0" w:tplc="EFA8847A">
      <w:start w:val="1"/>
      <w:numFmt w:val="lowerLetter"/>
      <w:lvlText w:val="(%1)"/>
      <w:lvlJc w:val="left"/>
      <w:pPr>
        <w:ind w:left="2825" w:hanging="84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6">
    <w:nsid w:val="6F211024"/>
    <w:multiLevelType w:val="hybridMultilevel"/>
    <w:tmpl w:val="870A1C9C"/>
    <w:lvl w:ilvl="0" w:tplc="EFA40DB8">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7">
    <w:nsid w:val="744834EB"/>
    <w:multiLevelType w:val="hybridMultilevel"/>
    <w:tmpl w:val="53C05E12"/>
    <w:lvl w:ilvl="0" w:tplc="516E6288">
      <w:start w:val="1"/>
      <w:numFmt w:val="lowerLetter"/>
      <w:lvlText w:val="(%1)"/>
      <w:lvlJc w:val="left"/>
      <w:pPr>
        <w:ind w:left="1144" w:hanging="435"/>
      </w:pPr>
      <w:rPr>
        <w:rFonts w:eastAsia="Malgun Gothic" w:hint="default"/>
        <w:sz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nsid w:val="78301F41"/>
    <w:multiLevelType w:val="hybridMultilevel"/>
    <w:tmpl w:val="BF247C5E"/>
    <w:lvl w:ilvl="0" w:tplc="E4BCC4C8">
      <w:start w:val="1"/>
      <w:numFmt w:val="lowerLetter"/>
      <w:lvlText w:val="(%1)"/>
      <w:lvlJc w:val="left"/>
      <w:pPr>
        <w:ind w:left="2279" w:hanging="360"/>
      </w:pPr>
      <w:rPr>
        <w:rFonts w:hint="default"/>
        <w:b w:val="0"/>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39">
    <w:nsid w:val="78B5043A"/>
    <w:multiLevelType w:val="hybridMultilevel"/>
    <w:tmpl w:val="B0F2B4CA"/>
    <w:lvl w:ilvl="0" w:tplc="EDAA2B3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nsid w:val="79B14658"/>
    <w:multiLevelType w:val="hybridMultilevel"/>
    <w:tmpl w:val="1302B1EA"/>
    <w:lvl w:ilvl="0" w:tplc="FBAC7BCE">
      <w:start w:val="1"/>
      <w:numFmt w:val="lowerLetter"/>
      <w:lvlText w:val="(%1)"/>
      <w:lvlJc w:val="left"/>
      <w:pPr>
        <w:tabs>
          <w:tab w:val="num" w:pos="1488"/>
        </w:tabs>
        <w:ind w:left="1488" w:hanging="360"/>
      </w:pPr>
      <w:rPr>
        <w:rFonts w:hint="default"/>
      </w:rPr>
    </w:lvl>
    <w:lvl w:ilvl="1" w:tplc="040C0019" w:tentative="1">
      <w:start w:val="1"/>
      <w:numFmt w:val="lowerLetter"/>
      <w:lvlText w:val="%2."/>
      <w:lvlJc w:val="left"/>
      <w:pPr>
        <w:tabs>
          <w:tab w:val="num" w:pos="2208"/>
        </w:tabs>
        <w:ind w:left="2208" w:hanging="360"/>
      </w:pPr>
    </w:lvl>
    <w:lvl w:ilvl="2" w:tplc="040C001B" w:tentative="1">
      <w:start w:val="1"/>
      <w:numFmt w:val="lowerRoman"/>
      <w:lvlText w:val="%3."/>
      <w:lvlJc w:val="right"/>
      <w:pPr>
        <w:tabs>
          <w:tab w:val="num" w:pos="2928"/>
        </w:tabs>
        <w:ind w:left="2928" w:hanging="180"/>
      </w:pPr>
    </w:lvl>
    <w:lvl w:ilvl="3" w:tplc="040C000F" w:tentative="1">
      <w:start w:val="1"/>
      <w:numFmt w:val="decimal"/>
      <w:lvlText w:val="%4."/>
      <w:lvlJc w:val="left"/>
      <w:pPr>
        <w:tabs>
          <w:tab w:val="num" w:pos="3648"/>
        </w:tabs>
        <w:ind w:left="3648" w:hanging="360"/>
      </w:pPr>
    </w:lvl>
    <w:lvl w:ilvl="4" w:tplc="040C0019" w:tentative="1">
      <w:start w:val="1"/>
      <w:numFmt w:val="lowerLetter"/>
      <w:lvlText w:val="%5."/>
      <w:lvlJc w:val="left"/>
      <w:pPr>
        <w:tabs>
          <w:tab w:val="num" w:pos="4368"/>
        </w:tabs>
        <w:ind w:left="4368" w:hanging="360"/>
      </w:pPr>
    </w:lvl>
    <w:lvl w:ilvl="5" w:tplc="040C001B" w:tentative="1">
      <w:start w:val="1"/>
      <w:numFmt w:val="lowerRoman"/>
      <w:lvlText w:val="%6."/>
      <w:lvlJc w:val="right"/>
      <w:pPr>
        <w:tabs>
          <w:tab w:val="num" w:pos="5088"/>
        </w:tabs>
        <w:ind w:left="5088" w:hanging="180"/>
      </w:pPr>
    </w:lvl>
    <w:lvl w:ilvl="6" w:tplc="040C000F" w:tentative="1">
      <w:start w:val="1"/>
      <w:numFmt w:val="decimal"/>
      <w:lvlText w:val="%7."/>
      <w:lvlJc w:val="left"/>
      <w:pPr>
        <w:tabs>
          <w:tab w:val="num" w:pos="5808"/>
        </w:tabs>
        <w:ind w:left="5808" w:hanging="360"/>
      </w:pPr>
    </w:lvl>
    <w:lvl w:ilvl="7" w:tplc="040C0019" w:tentative="1">
      <w:start w:val="1"/>
      <w:numFmt w:val="lowerLetter"/>
      <w:lvlText w:val="%8."/>
      <w:lvlJc w:val="left"/>
      <w:pPr>
        <w:tabs>
          <w:tab w:val="num" w:pos="6528"/>
        </w:tabs>
        <w:ind w:left="6528" w:hanging="360"/>
      </w:pPr>
    </w:lvl>
    <w:lvl w:ilvl="8" w:tplc="040C001B" w:tentative="1">
      <w:start w:val="1"/>
      <w:numFmt w:val="lowerRoman"/>
      <w:lvlText w:val="%9."/>
      <w:lvlJc w:val="right"/>
      <w:pPr>
        <w:tabs>
          <w:tab w:val="num" w:pos="7248"/>
        </w:tabs>
        <w:ind w:left="7248" w:hanging="180"/>
      </w:pPr>
    </w:lvl>
  </w:abstractNum>
  <w:abstractNum w:abstractNumId="41">
    <w:nsid w:val="7A683D44"/>
    <w:multiLevelType w:val="hybridMultilevel"/>
    <w:tmpl w:val="FC1A1A0E"/>
    <w:lvl w:ilvl="0" w:tplc="CD723B52">
      <w:start w:val="1"/>
      <w:numFmt w:val="lowerLetter"/>
      <w:lvlText w:val="(%1)"/>
      <w:lvlJc w:val="left"/>
      <w:pPr>
        <w:ind w:left="1854" w:hanging="360"/>
      </w:pPr>
      <w:rPr>
        <w:rFonts w:ascii="Times New Roman" w:eastAsia="Times New Roman"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nsid w:val="7C9828F6"/>
    <w:multiLevelType w:val="hybridMultilevel"/>
    <w:tmpl w:val="CB46F07E"/>
    <w:lvl w:ilvl="0" w:tplc="B2B20C00">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7D5A36BB"/>
    <w:multiLevelType w:val="hybridMultilevel"/>
    <w:tmpl w:val="B9E036CC"/>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
  </w:num>
  <w:num w:numId="2">
    <w:abstractNumId w:val="33"/>
  </w:num>
  <w:num w:numId="3">
    <w:abstractNumId w:val="42"/>
  </w:num>
  <w:num w:numId="4">
    <w:abstractNumId w:val="17"/>
  </w:num>
  <w:num w:numId="5">
    <w:abstractNumId w:val="32"/>
  </w:num>
  <w:num w:numId="6">
    <w:abstractNumId w:val="24"/>
  </w:num>
  <w:num w:numId="7">
    <w:abstractNumId w:val="22"/>
  </w:num>
  <w:num w:numId="8">
    <w:abstractNumId w:val="40"/>
  </w:num>
  <w:num w:numId="9">
    <w:abstractNumId w:val="38"/>
  </w:num>
  <w:num w:numId="10">
    <w:abstractNumId w:val="30"/>
  </w:num>
  <w:num w:numId="11">
    <w:abstractNumId w:val="6"/>
  </w:num>
  <w:num w:numId="12">
    <w:abstractNumId w:val="11"/>
  </w:num>
  <w:num w:numId="13">
    <w:abstractNumId w:val="35"/>
  </w:num>
  <w:num w:numId="14">
    <w:abstractNumId w:val="23"/>
  </w:num>
  <w:num w:numId="15">
    <w:abstractNumId w:val="25"/>
  </w:num>
  <w:num w:numId="16">
    <w:abstractNumId w:val="41"/>
  </w:num>
  <w:num w:numId="17">
    <w:abstractNumId w:val="8"/>
  </w:num>
  <w:num w:numId="18">
    <w:abstractNumId w:val="15"/>
  </w:num>
  <w:num w:numId="19">
    <w:abstractNumId w:val="37"/>
  </w:num>
  <w:num w:numId="20">
    <w:abstractNumId w:val="4"/>
  </w:num>
  <w:num w:numId="21">
    <w:abstractNumId w:val="10"/>
  </w:num>
  <w:num w:numId="22">
    <w:abstractNumId w:val="9"/>
  </w:num>
  <w:num w:numId="23">
    <w:abstractNumId w:val="27"/>
  </w:num>
  <w:num w:numId="24">
    <w:abstractNumId w:val="16"/>
  </w:num>
  <w:num w:numId="25">
    <w:abstractNumId w:val="1"/>
  </w:num>
  <w:num w:numId="26">
    <w:abstractNumId w:val="31"/>
  </w:num>
  <w:num w:numId="27">
    <w:abstractNumId w:val="34"/>
  </w:num>
  <w:num w:numId="28">
    <w:abstractNumId w:val="0"/>
  </w:num>
  <w:num w:numId="29">
    <w:abstractNumId w:val="19"/>
  </w:num>
  <w:num w:numId="30">
    <w:abstractNumId w:val="43"/>
  </w:num>
  <w:num w:numId="31">
    <w:abstractNumId w:val="18"/>
  </w:num>
  <w:num w:numId="32">
    <w:abstractNumId w:val="14"/>
  </w:num>
  <w:num w:numId="33">
    <w:abstractNumId w:val="36"/>
  </w:num>
  <w:num w:numId="34">
    <w:abstractNumId w:val="3"/>
  </w:num>
  <w:num w:numId="35">
    <w:abstractNumId w:val="29"/>
  </w:num>
  <w:num w:numId="36">
    <w:abstractNumId w:val="26"/>
  </w:num>
  <w:num w:numId="37">
    <w:abstractNumId w:val="28"/>
  </w:num>
  <w:num w:numId="38">
    <w:abstractNumId w:val="20"/>
  </w:num>
  <w:num w:numId="39">
    <w:abstractNumId w:val="5"/>
  </w:num>
  <w:num w:numId="40">
    <w:abstractNumId w:val="21"/>
  </w:num>
  <w:num w:numId="41">
    <w:abstractNumId w:val="7"/>
  </w:num>
  <w:num w:numId="42">
    <w:abstractNumId w:val="39"/>
  </w:num>
  <w:num w:numId="43">
    <w:abstractNumId w:val="13"/>
  </w:num>
  <w:num w:numId="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6A"/>
    <w:rsid w:val="00010840"/>
    <w:rsid w:val="00015E9C"/>
    <w:rsid w:val="000265DB"/>
    <w:rsid w:val="00050F6B"/>
    <w:rsid w:val="00072C8C"/>
    <w:rsid w:val="00091419"/>
    <w:rsid w:val="000931C0"/>
    <w:rsid w:val="000B175B"/>
    <w:rsid w:val="000B3A0F"/>
    <w:rsid w:val="000B45CA"/>
    <w:rsid w:val="000C11CF"/>
    <w:rsid w:val="000E0415"/>
    <w:rsid w:val="001102D6"/>
    <w:rsid w:val="00172EF0"/>
    <w:rsid w:val="001B4B04"/>
    <w:rsid w:val="001C6663"/>
    <w:rsid w:val="001C7895"/>
    <w:rsid w:val="001D26DF"/>
    <w:rsid w:val="001D2FDC"/>
    <w:rsid w:val="001E3807"/>
    <w:rsid w:val="00211E0B"/>
    <w:rsid w:val="00237785"/>
    <w:rsid w:val="00241466"/>
    <w:rsid w:val="00256405"/>
    <w:rsid w:val="00265A6A"/>
    <w:rsid w:val="00285844"/>
    <w:rsid w:val="002D4C6A"/>
    <w:rsid w:val="00306BCA"/>
    <w:rsid w:val="003107FA"/>
    <w:rsid w:val="003229D8"/>
    <w:rsid w:val="00334678"/>
    <w:rsid w:val="00336125"/>
    <w:rsid w:val="003407DC"/>
    <w:rsid w:val="00346C62"/>
    <w:rsid w:val="00355C90"/>
    <w:rsid w:val="0039277A"/>
    <w:rsid w:val="003972E0"/>
    <w:rsid w:val="003C2CC4"/>
    <w:rsid w:val="003C3DF5"/>
    <w:rsid w:val="003D4B23"/>
    <w:rsid w:val="00410691"/>
    <w:rsid w:val="004325CB"/>
    <w:rsid w:val="00446DE4"/>
    <w:rsid w:val="00473FF8"/>
    <w:rsid w:val="004C2B84"/>
    <w:rsid w:val="00516BCE"/>
    <w:rsid w:val="00527AE2"/>
    <w:rsid w:val="00533821"/>
    <w:rsid w:val="00535A6F"/>
    <w:rsid w:val="00540C2F"/>
    <w:rsid w:val="005420F2"/>
    <w:rsid w:val="00585664"/>
    <w:rsid w:val="005A274D"/>
    <w:rsid w:val="005B12CE"/>
    <w:rsid w:val="005B336A"/>
    <w:rsid w:val="005B3DB3"/>
    <w:rsid w:val="005C0081"/>
    <w:rsid w:val="005C0AF3"/>
    <w:rsid w:val="005C50EF"/>
    <w:rsid w:val="00611FC4"/>
    <w:rsid w:val="006155CF"/>
    <w:rsid w:val="006176FB"/>
    <w:rsid w:val="00640B26"/>
    <w:rsid w:val="00682D97"/>
    <w:rsid w:val="0068384C"/>
    <w:rsid w:val="006A7392"/>
    <w:rsid w:val="006C0D34"/>
    <w:rsid w:val="006C680F"/>
    <w:rsid w:val="006D191E"/>
    <w:rsid w:val="006E564B"/>
    <w:rsid w:val="00723CA7"/>
    <w:rsid w:val="0072632A"/>
    <w:rsid w:val="00727598"/>
    <w:rsid w:val="007B6BA5"/>
    <w:rsid w:val="007C3390"/>
    <w:rsid w:val="007C4F4B"/>
    <w:rsid w:val="007F3143"/>
    <w:rsid w:val="007F6611"/>
    <w:rsid w:val="008175E9"/>
    <w:rsid w:val="008242D7"/>
    <w:rsid w:val="0084572B"/>
    <w:rsid w:val="0087038C"/>
    <w:rsid w:val="00871FD5"/>
    <w:rsid w:val="00880E88"/>
    <w:rsid w:val="008979B1"/>
    <w:rsid w:val="008A6B25"/>
    <w:rsid w:val="008A6C4F"/>
    <w:rsid w:val="008B663D"/>
    <w:rsid w:val="008E0E46"/>
    <w:rsid w:val="008F084C"/>
    <w:rsid w:val="00903AC2"/>
    <w:rsid w:val="00907CC9"/>
    <w:rsid w:val="009212BB"/>
    <w:rsid w:val="00942BE3"/>
    <w:rsid w:val="00960A18"/>
    <w:rsid w:val="00963CBA"/>
    <w:rsid w:val="00991261"/>
    <w:rsid w:val="0099136B"/>
    <w:rsid w:val="009F1F9A"/>
    <w:rsid w:val="009F3E16"/>
    <w:rsid w:val="00A1427D"/>
    <w:rsid w:val="00A62942"/>
    <w:rsid w:val="00A72F22"/>
    <w:rsid w:val="00A748A6"/>
    <w:rsid w:val="00A879A4"/>
    <w:rsid w:val="00A92BBF"/>
    <w:rsid w:val="00B14BE0"/>
    <w:rsid w:val="00B30179"/>
    <w:rsid w:val="00B3317B"/>
    <w:rsid w:val="00B75D73"/>
    <w:rsid w:val="00B81E12"/>
    <w:rsid w:val="00B93068"/>
    <w:rsid w:val="00BC74E9"/>
    <w:rsid w:val="00BE618E"/>
    <w:rsid w:val="00C01E72"/>
    <w:rsid w:val="00C0689E"/>
    <w:rsid w:val="00C23E37"/>
    <w:rsid w:val="00C463DD"/>
    <w:rsid w:val="00C55713"/>
    <w:rsid w:val="00C745C3"/>
    <w:rsid w:val="00CE4A8F"/>
    <w:rsid w:val="00D2031B"/>
    <w:rsid w:val="00D25FE2"/>
    <w:rsid w:val="00D43252"/>
    <w:rsid w:val="00D90876"/>
    <w:rsid w:val="00D978C6"/>
    <w:rsid w:val="00DA67AD"/>
    <w:rsid w:val="00DB4442"/>
    <w:rsid w:val="00DD3A30"/>
    <w:rsid w:val="00E03CFF"/>
    <w:rsid w:val="00E130AB"/>
    <w:rsid w:val="00E32A8A"/>
    <w:rsid w:val="00E5644E"/>
    <w:rsid w:val="00E7260F"/>
    <w:rsid w:val="00E96630"/>
    <w:rsid w:val="00ED7A2A"/>
    <w:rsid w:val="00EF145C"/>
    <w:rsid w:val="00EF1D7F"/>
    <w:rsid w:val="00F40E75"/>
    <w:rsid w:val="00F50D83"/>
    <w:rsid w:val="00F66841"/>
    <w:rsid w:val="00F97471"/>
    <w:rsid w:val="00FC3058"/>
    <w:rsid w:val="00FC68B7"/>
    <w:rsid w:val="00FD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eastAsia="en-US"/>
    </w:rPr>
  </w:style>
  <w:style w:type="paragraph" w:styleId="Heading1">
    <w:name w:val="heading 1"/>
    <w:aliases w:val="Table_G"/>
    <w:basedOn w:val="SingleTxtG"/>
    <w:next w:val="SingleTxtG"/>
    <w:link w:val="Heading1Char"/>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referencia nota al pie,BVI fnr,4_Footnote text,Footnote text,callout,nota pié di pagina,Fußnotenzeichen DISS,16 Point,Superscript 6 Point,Footnotes refss,Footnote Reference1,Appel note de bas de p.,Footnote Reference Number"/>
    <w:link w:val="BVIfnrCharCharChar1CharCharCharCharCharCharChar1CharCharChar1Char"/>
    <w:qFormat/>
    <w:rsid w:val="00B75D73"/>
    <w:rPr>
      <w:rFonts w:ascii="Times New Roman" w:hAnsi="Times New Roman"/>
      <w:sz w:val="18"/>
      <w:vertAlign w:val="superscript"/>
    </w:rPr>
  </w:style>
  <w:style w:type="character" w:styleId="EndnoteReference">
    <w:name w:val="endnote reference"/>
    <w:aliases w:val="1_G"/>
    <w:basedOn w:val="FootnoteReference"/>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f Ch"/>
    <w:basedOn w:val="Normal"/>
    <w:link w:val="FootnoteTextChar"/>
    <w:uiPriority w:val="99"/>
    <w:qFormat/>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locked/>
    <w:rsid w:val="002D4C6A"/>
    <w:rPr>
      <w:lang w:eastAsia="en-US"/>
    </w:rPr>
  </w:style>
  <w:style w:type="character" w:customStyle="1" w:styleId="Heading2Char">
    <w:name w:val="Heading 2 Char"/>
    <w:link w:val="Heading2"/>
    <w:locked/>
    <w:rsid w:val="002D4C6A"/>
    <w:rPr>
      <w:lang w:eastAsia="en-US"/>
    </w:rPr>
  </w:style>
  <w:style w:type="character" w:customStyle="1" w:styleId="Heading3Char">
    <w:name w:val="Heading 3 Char"/>
    <w:link w:val="Heading3"/>
    <w:locked/>
    <w:rsid w:val="002D4C6A"/>
    <w:rPr>
      <w:lang w:eastAsia="en-US"/>
    </w:rPr>
  </w:style>
  <w:style w:type="character" w:styleId="Strong">
    <w:name w:val="Strong"/>
    <w:uiPriority w:val="22"/>
    <w:qFormat/>
    <w:rsid w:val="002D4C6A"/>
    <w:rPr>
      <w:b/>
    </w:rPr>
  </w:style>
  <w:style w:type="paragraph" w:customStyle="1" w:styleId="Default">
    <w:name w:val="Default"/>
    <w:rsid w:val="002D4C6A"/>
    <w:pPr>
      <w:autoSpaceDE w:val="0"/>
      <w:autoSpaceDN w:val="0"/>
      <w:adjustRightInd w:val="0"/>
    </w:pPr>
    <w:rPr>
      <w:rFonts w:eastAsia="SimSun"/>
      <w:color w:val="000000"/>
      <w:sz w:val="24"/>
      <w:szCs w:val="24"/>
      <w:lang w:val="en-US" w:eastAsia="zh-CN"/>
    </w:rPr>
  </w:style>
  <w:style w:type="character" w:customStyle="1" w:styleId="SingleTxtGChar">
    <w:name w:val="_ Single Txt_G Char"/>
    <w:link w:val="SingleTxtG"/>
    <w:locked/>
    <w:rsid w:val="002D4C6A"/>
    <w:rPr>
      <w:lang w:eastAsia="en-US"/>
    </w:rPr>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link w:val="FootnoteText"/>
    <w:uiPriority w:val="99"/>
    <w:locked/>
    <w:rsid w:val="002D4C6A"/>
    <w:rPr>
      <w:sz w:val="18"/>
      <w:lang w:eastAsia="en-US"/>
    </w:rPr>
  </w:style>
  <w:style w:type="character" w:customStyle="1" w:styleId="Bulletpoint1Char">
    <w:name w:val="Bulletpoint_1 Char"/>
    <w:link w:val="Bulletpoint1"/>
    <w:locked/>
    <w:rsid w:val="002D4C6A"/>
    <w:rPr>
      <w:lang w:val="en-US" w:eastAsia="x-none"/>
    </w:rPr>
  </w:style>
  <w:style w:type="paragraph" w:customStyle="1" w:styleId="Bulletpoint1">
    <w:name w:val="Bulletpoint_1"/>
    <w:basedOn w:val="Normal"/>
    <w:link w:val="Bulletpoint1Char"/>
    <w:rsid w:val="002D4C6A"/>
    <w:pPr>
      <w:widowControl w:val="0"/>
      <w:tabs>
        <w:tab w:val="num" w:pos="720"/>
      </w:tabs>
      <w:suppressAutoHyphens w:val="0"/>
      <w:snapToGrid w:val="0"/>
      <w:spacing w:after="120" w:line="240" w:lineRule="auto"/>
      <w:ind w:left="720" w:hanging="360"/>
      <w:jc w:val="both"/>
    </w:pPr>
    <w:rPr>
      <w:lang w:val="en-US" w:eastAsia="x-none"/>
    </w:rPr>
  </w:style>
  <w:style w:type="paragraph" w:customStyle="1" w:styleId="ColorfulList-Accent11">
    <w:name w:val="Colorful List - Accent 11"/>
    <w:basedOn w:val="Normal"/>
    <w:uiPriority w:val="34"/>
    <w:qFormat/>
    <w:rsid w:val="002D4C6A"/>
    <w:pPr>
      <w:suppressAutoHyphens w:val="0"/>
      <w:spacing w:line="240" w:lineRule="auto"/>
      <w:ind w:left="708"/>
    </w:pPr>
    <w:rPr>
      <w:rFonts w:eastAsia="Calibri"/>
      <w:sz w:val="24"/>
      <w:szCs w:val="24"/>
      <w:lang w:val="de-DE" w:eastAsia="de-DE"/>
    </w:rPr>
  </w:style>
  <w:style w:type="character" w:customStyle="1" w:styleId="HChGChar">
    <w:name w:val="_ H _Ch_G Char"/>
    <w:link w:val="HChG"/>
    <w:locked/>
    <w:rsid w:val="002D4C6A"/>
    <w:rPr>
      <w:b/>
      <w:sz w:val="28"/>
      <w:lang w:eastAsia="en-US"/>
    </w:rPr>
  </w:style>
  <w:style w:type="character" w:styleId="Emphasis">
    <w:name w:val="Emphasis"/>
    <w:uiPriority w:val="20"/>
    <w:qFormat/>
    <w:rsid w:val="002D4C6A"/>
    <w:rPr>
      <w:rFonts w:cs="Times New Roman"/>
      <w:b/>
      <w:bCs/>
    </w:rPr>
  </w:style>
  <w:style w:type="character" w:customStyle="1" w:styleId="st">
    <w:name w:val="st"/>
    <w:rsid w:val="002D4C6A"/>
    <w:rPr>
      <w:rFonts w:cs="Times New Roman"/>
    </w:rPr>
  </w:style>
  <w:style w:type="character" w:customStyle="1" w:styleId="H1GChar">
    <w:name w:val="_ H_1_G Char"/>
    <w:link w:val="H1G"/>
    <w:rsid w:val="002D4C6A"/>
    <w:rPr>
      <w:b/>
      <w:sz w:val="24"/>
      <w:lang w:eastAsia="en-US"/>
    </w:rPr>
  </w:style>
  <w:style w:type="paragraph" w:styleId="BalloonText">
    <w:name w:val="Balloon Text"/>
    <w:basedOn w:val="Normal"/>
    <w:link w:val="BalloonTextChar"/>
    <w:rsid w:val="002D4C6A"/>
    <w:rPr>
      <w:rFonts w:ascii="Tahoma" w:hAnsi="Tahoma"/>
      <w:sz w:val="16"/>
      <w:szCs w:val="16"/>
      <w:lang w:val="x-none"/>
    </w:rPr>
  </w:style>
  <w:style w:type="character" w:customStyle="1" w:styleId="BalloonTextChar">
    <w:name w:val="Balloon Text Char"/>
    <w:basedOn w:val="DefaultParagraphFont"/>
    <w:link w:val="BalloonText"/>
    <w:rsid w:val="002D4C6A"/>
    <w:rPr>
      <w:rFonts w:ascii="Tahoma" w:hAnsi="Tahoma"/>
      <w:sz w:val="16"/>
      <w:szCs w:val="16"/>
      <w:lang w:val="x-none" w:eastAsia="en-US"/>
    </w:rPr>
  </w:style>
  <w:style w:type="character" w:styleId="CommentReference">
    <w:name w:val="annotation reference"/>
    <w:uiPriority w:val="99"/>
    <w:rsid w:val="002D4C6A"/>
    <w:rPr>
      <w:sz w:val="16"/>
      <w:szCs w:val="16"/>
    </w:rPr>
  </w:style>
  <w:style w:type="paragraph" w:styleId="CommentText">
    <w:name w:val="annotation text"/>
    <w:basedOn w:val="Normal"/>
    <w:link w:val="CommentTextChar1"/>
    <w:uiPriority w:val="99"/>
    <w:rsid w:val="002D4C6A"/>
    <w:rPr>
      <w:lang w:val="x-none"/>
    </w:rPr>
  </w:style>
  <w:style w:type="character" w:customStyle="1" w:styleId="CommentTextChar">
    <w:name w:val="Comment Text Char"/>
    <w:basedOn w:val="DefaultParagraphFont"/>
    <w:uiPriority w:val="99"/>
    <w:rsid w:val="002D4C6A"/>
    <w:rPr>
      <w:lang w:eastAsia="en-US"/>
    </w:rPr>
  </w:style>
  <w:style w:type="character" w:customStyle="1" w:styleId="CommentTextChar1">
    <w:name w:val="Comment Text Char1"/>
    <w:link w:val="CommentText"/>
    <w:uiPriority w:val="99"/>
    <w:rsid w:val="002D4C6A"/>
    <w:rPr>
      <w:lang w:val="x-none" w:eastAsia="en-US"/>
    </w:rPr>
  </w:style>
  <w:style w:type="paragraph" w:styleId="CommentSubject">
    <w:name w:val="annotation subject"/>
    <w:basedOn w:val="CommentText"/>
    <w:next w:val="CommentText"/>
    <w:link w:val="CommentSubjectChar"/>
    <w:rsid w:val="002D4C6A"/>
    <w:rPr>
      <w:b/>
      <w:bCs/>
    </w:rPr>
  </w:style>
  <w:style w:type="character" w:customStyle="1" w:styleId="CommentSubjectChar">
    <w:name w:val="Comment Subject Char"/>
    <w:basedOn w:val="CommentTextChar"/>
    <w:link w:val="CommentSubject"/>
    <w:rsid w:val="002D4C6A"/>
    <w:rPr>
      <w:b/>
      <w:bCs/>
      <w:lang w:val="x-none" w:eastAsia="en-US"/>
    </w:rPr>
  </w:style>
  <w:style w:type="character" w:customStyle="1" w:styleId="HeaderChar">
    <w:name w:val="Header Char"/>
    <w:aliases w:val="6_G Char"/>
    <w:link w:val="Header"/>
    <w:rsid w:val="002D4C6A"/>
    <w:rPr>
      <w:b/>
      <w:sz w:val="18"/>
      <w:lang w:eastAsia="en-US"/>
    </w:rPr>
  </w:style>
  <w:style w:type="character" w:customStyle="1" w:styleId="FooterChar">
    <w:name w:val="Footer Char"/>
    <w:aliases w:val="3_G Char"/>
    <w:link w:val="Footer"/>
    <w:uiPriority w:val="99"/>
    <w:rsid w:val="002D4C6A"/>
    <w:rPr>
      <w:sz w:val="16"/>
      <w:lang w:eastAsia="en-US"/>
    </w:rPr>
  </w:style>
  <w:style w:type="paragraph" w:styleId="DocumentMap">
    <w:name w:val="Document Map"/>
    <w:basedOn w:val="Normal"/>
    <w:link w:val="DocumentMapChar"/>
    <w:rsid w:val="002D4C6A"/>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basedOn w:val="DefaultParagraphFont"/>
    <w:link w:val="DocumentMap"/>
    <w:rsid w:val="002D4C6A"/>
    <w:rPr>
      <w:rFonts w:ascii="Tahoma" w:eastAsia="Calibri" w:hAnsi="Tahoma"/>
      <w:sz w:val="16"/>
      <w:szCs w:val="16"/>
      <w:lang w:val="en-US" w:eastAsia="zh-CN"/>
    </w:rPr>
  </w:style>
  <w:style w:type="character" w:customStyle="1" w:styleId="highlight1">
    <w:name w:val="highlight1"/>
    <w:rsid w:val="002D4C6A"/>
    <w:rPr>
      <w:shd w:val="clear" w:color="auto" w:fill="FFCC33"/>
    </w:rPr>
  </w:style>
  <w:style w:type="paragraph" w:styleId="NormalWeb">
    <w:name w:val="Normal (Web)"/>
    <w:basedOn w:val="Normal"/>
    <w:uiPriority w:val="99"/>
    <w:unhideWhenUsed/>
    <w:rsid w:val="002D4C6A"/>
    <w:pPr>
      <w:suppressAutoHyphens w:val="0"/>
      <w:spacing w:before="100" w:beforeAutospacing="1" w:after="100" w:afterAutospacing="1" w:line="240" w:lineRule="auto"/>
    </w:pPr>
    <w:rPr>
      <w:sz w:val="24"/>
      <w:szCs w:val="24"/>
      <w:lang w:eastAsia="en-GB"/>
    </w:rPr>
  </w:style>
  <w:style w:type="character" w:customStyle="1" w:styleId="hps">
    <w:name w:val="hps"/>
    <w:rsid w:val="002D4C6A"/>
  </w:style>
  <w:style w:type="character" w:customStyle="1" w:styleId="apple-converted-space">
    <w:name w:val="apple-converted-space"/>
    <w:rsid w:val="002D4C6A"/>
  </w:style>
  <w:style w:type="character" w:customStyle="1" w:styleId="highlight">
    <w:name w:val="highlight"/>
    <w:rsid w:val="002D4C6A"/>
  </w:style>
  <w:style w:type="numbering" w:customStyle="1" w:styleId="NoList1">
    <w:name w:val="No List1"/>
    <w:next w:val="NoList"/>
    <w:uiPriority w:val="99"/>
    <w:semiHidden/>
    <w:unhideWhenUsed/>
    <w:rsid w:val="002D4C6A"/>
  </w:style>
  <w:style w:type="paragraph" w:customStyle="1" w:styleId="ListParagraph1">
    <w:name w:val="List Paragraph1"/>
    <w:basedOn w:val="Normal"/>
    <w:uiPriority w:val="34"/>
    <w:qFormat/>
    <w:rsid w:val="002D4C6A"/>
    <w:pPr>
      <w:suppressAutoHyphens w:val="0"/>
      <w:spacing w:line="240" w:lineRule="auto"/>
      <w:ind w:left="720"/>
    </w:pPr>
    <w:rPr>
      <w:rFonts w:eastAsia="Malgun Gothic"/>
      <w:sz w:val="24"/>
      <w:szCs w:val="24"/>
      <w:lang w:val="en-US" w:eastAsia="zh-CN"/>
    </w:rPr>
  </w:style>
  <w:style w:type="character" w:customStyle="1" w:styleId="st1">
    <w:name w:val="st1"/>
    <w:rsid w:val="002D4C6A"/>
  </w:style>
  <w:style w:type="character" w:customStyle="1" w:styleId="apple-style-span">
    <w:name w:val="apple-style-span"/>
    <w:rsid w:val="002D4C6A"/>
  </w:style>
  <w:style w:type="character" w:styleId="HTMLTypewriter">
    <w:name w:val="HTML Typewriter"/>
    <w:uiPriority w:val="99"/>
    <w:unhideWhenUsed/>
    <w:rsid w:val="002D4C6A"/>
    <w:rPr>
      <w:rFonts w:ascii="Courier New" w:eastAsia="Times New Roman" w:hAnsi="Courier New" w:cs="Courier New"/>
      <w:sz w:val="20"/>
      <w:szCs w:val="20"/>
    </w:rPr>
  </w:style>
  <w:style w:type="character" w:styleId="HTMLCite">
    <w:name w:val="HTML Cite"/>
    <w:rsid w:val="002D4C6A"/>
    <w:rPr>
      <w:i/>
      <w:iCs/>
    </w:rPr>
  </w:style>
  <w:style w:type="character" w:customStyle="1" w:styleId="highlightselected">
    <w:name w:val="highlight selected"/>
    <w:basedOn w:val="DefaultParagraphFont"/>
    <w:rsid w:val="002D4C6A"/>
  </w:style>
  <w:style w:type="paragraph" w:styleId="BodyText2">
    <w:name w:val="Body Text 2"/>
    <w:basedOn w:val="Normal"/>
    <w:link w:val="BodyText2Char"/>
    <w:rsid w:val="002D4C6A"/>
    <w:pPr>
      <w:suppressAutoHyphens w:val="0"/>
      <w:spacing w:after="240" w:line="240" w:lineRule="auto"/>
    </w:pPr>
    <w:rPr>
      <w:b/>
      <w:sz w:val="24"/>
      <w:lang w:val="x-none"/>
    </w:rPr>
  </w:style>
  <w:style w:type="character" w:customStyle="1" w:styleId="BodyText2Char">
    <w:name w:val="Body Text 2 Char"/>
    <w:basedOn w:val="DefaultParagraphFont"/>
    <w:link w:val="BodyText2"/>
    <w:rsid w:val="002D4C6A"/>
    <w:rPr>
      <w:b/>
      <w:sz w:val="24"/>
      <w:lang w:val="x-none" w:eastAsia="en-US"/>
    </w:rPr>
  </w:style>
  <w:style w:type="character" w:customStyle="1" w:styleId="shorttext">
    <w:name w:val="short_text"/>
    <w:rsid w:val="002D4C6A"/>
  </w:style>
  <w:style w:type="paragraph" w:styleId="NoSpacing">
    <w:name w:val="No Spacing"/>
    <w:link w:val="NoSpacingChar"/>
    <w:uiPriority w:val="1"/>
    <w:qFormat/>
    <w:rsid w:val="002D4C6A"/>
    <w:rPr>
      <w:rFonts w:ascii="Calibri" w:eastAsia="MS Mincho" w:hAnsi="Calibri" w:cs="Arial"/>
      <w:sz w:val="22"/>
      <w:szCs w:val="22"/>
      <w:lang w:val="en-US" w:eastAsia="ja-JP"/>
    </w:rPr>
  </w:style>
  <w:style w:type="character" w:customStyle="1" w:styleId="NoSpacingChar">
    <w:name w:val="No Spacing Char"/>
    <w:link w:val="NoSpacing"/>
    <w:uiPriority w:val="1"/>
    <w:rsid w:val="002D4C6A"/>
    <w:rPr>
      <w:rFonts w:ascii="Calibri" w:eastAsia="MS Mincho" w:hAnsi="Calibri" w:cs="Arial"/>
      <w:sz w:val="22"/>
      <w:szCs w:val="22"/>
      <w:lang w:val="en-US" w:eastAsia="ja-JP"/>
    </w:rPr>
  </w:style>
  <w:style w:type="paragraph" w:styleId="ListParagraph">
    <w:name w:val="List Paragraph"/>
    <w:basedOn w:val="Normal"/>
    <w:uiPriority w:val="34"/>
    <w:qFormat/>
    <w:rsid w:val="002D4C6A"/>
    <w:pPr>
      <w:ind w:left="720"/>
    </w:p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265A6A"/>
    <w:pPr>
      <w:suppressAutoHyphens w:val="0"/>
      <w:spacing w:after="160" w:line="240" w:lineRule="exact"/>
    </w:pPr>
    <w:rPr>
      <w:sz w:val="18"/>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D73"/>
    <w:pPr>
      <w:suppressAutoHyphens/>
      <w:spacing w:line="240" w:lineRule="atLeast"/>
    </w:pPr>
    <w:rPr>
      <w:lang w:eastAsia="en-US"/>
    </w:rPr>
  </w:style>
  <w:style w:type="paragraph" w:styleId="Heading1">
    <w:name w:val="heading 1"/>
    <w:aliases w:val="Table_G"/>
    <w:basedOn w:val="SingleTxtG"/>
    <w:next w:val="SingleTxtG"/>
    <w:link w:val="Heading1Char"/>
    <w:qFormat/>
    <w:rsid w:val="00B75D73"/>
    <w:pPr>
      <w:spacing w:after="0" w:line="240" w:lineRule="auto"/>
      <w:ind w:right="0"/>
      <w:jc w:val="left"/>
      <w:outlineLvl w:val="0"/>
    </w:pPr>
  </w:style>
  <w:style w:type="paragraph" w:styleId="Heading2">
    <w:name w:val="heading 2"/>
    <w:basedOn w:val="Normal"/>
    <w:next w:val="Normal"/>
    <w:link w:val="Heading2Char"/>
    <w:qFormat/>
    <w:rsid w:val="00B75D73"/>
    <w:pPr>
      <w:spacing w:line="240" w:lineRule="auto"/>
      <w:outlineLvl w:val="1"/>
    </w:pPr>
  </w:style>
  <w:style w:type="paragraph" w:styleId="Heading3">
    <w:name w:val="heading 3"/>
    <w:basedOn w:val="Normal"/>
    <w:next w:val="Normal"/>
    <w:link w:val="Heading3Char"/>
    <w:qFormat/>
    <w:rsid w:val="00B75D73"/>
    <w:pPr>
      <w:spacing w:line="240" w:lineRule="auto"/>
      <w:outlineLvl w:val="2"/>
    </w:pPr>
  </w:style>
  <w:style w:type="paragraph" w:styleId="Heading4">
    <w:name w:val="heading 4"/>
    <w:basedOn w:val="Normal"/>
    <w:next w:val="Normal"/>
    <w:qFormat/>
    <w:rsid w:val="00B75D73"/>
    <w:pPr>
      <w:spacing w:line="240" w:lineRule="auto"/>
      <w:outlineLvl w:val="3"/>
    </w:pPr>
  </w:style>
  <w:style w:type="paragraph" w:styleId="Heading5">
    <w:name w:val="heading 5"/>
    <w:basedOn w:val="Normal"/>
    <w:next w:val="Normal"/>
    <w:qFormat/>
    <w:rsid w:val="00B75D73"/>
    <w:pPr>
      <w:spacing w:line="240" w:lineRule="auto"/>
      <w:outlineLvl w:val="4"/>
    </w:pPr>
  </w:style>
  <w:style w:type="paragraph" w:styleId="Heading6">
    <w:name w:val="heading 6"/>
    <w:basedOn w:val="Normal"/>
    <w:next w:val="Normal"/>
    <w:qFormat/>
    <w:rsid w:val="00B75D73"/>
    <w:pPr>
      <w:spacing w:line="240" w:lineRule="auto"/>
      <w:outlineLvl w:val="5"/>
    </w:pPr>
  </w:style>
  <w:style w:type="paragraph" w:styleId="Heading7">
    <w:name w:val="heading 7"/>
    <w:basedOn w:val="Normal"/>
    <w:next w:val="Normal"/>
    <w:qFormat/>
    <w:rsid w:val="00B75D73"/>
    <w:pPr>
      <w:spacing w:line="240" w:lineRule="auto"/>
      <w:outlineLvl w:val="6"/>
    </w:pPr>
  </w:style>
  <w:style w:type="paragraph" w:styleId="Heading8">
    <w:name w:val="heading 8"/>
    <w:basedOn w:val="Normal"/>
    <w:next w:val="Normal"/>
    <w:qFormat/>
    <w:rsid w:val="00B75D73"/>
    <w:pPr>
      <w:spacing w:line="240" w:lineRule="auto"/>
      <w:outlineLvl w:val="7"/>
    </w:pPr>
  </w:style>
  <w:style w:type="paragraph" w:styleId="Heading9">
    <w:name w:val="heading 9"/>
    <w:basedOn w:val="Normal"/>
    <w:next w:val="Normal"/>
    <w:qFormat/>
    <w:rsid w:val="00B75D7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B75D73"/>
    <w:pPr>
      <w:spacing w:after="120"/>
      <w:ind w:left="1134" w:right="1134"/>
      <w:jc w:val="both"/>
    </w:pPr>
  </w:style>
  <w:style w:type="paragraph" w:customStyle="1" w:styleId="HMG">
    <w:name w:val="_ H __M_G"/>
    <w:basedOn w:val="Normal"/>
    <w:next w:val="Normal"/>
    <w:rsid w:val="00B75D7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B75D7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referencia nota al pie,BVI fnr,4_Footnote text,Footnote text,callout,nota pié di pagina,Fußnotenzeichen DISS,16 Point,Superscript 6 Point,Footnotes refss,Footnote Reference1,Appel note de bas de p.,Footnote Reference Number"/>
    <w:link w:val="BVIfnrCharCharChar1CharCharCharCharCharCharChar1CharCharChar1Char"/>
    <w:qFormat/>
    <w:rsid w:val="00B75D73"/>
    <w:rPr>
      <w:rFonts w:ascii="Times New Roman" w:hAnsi="Times New Roman"/>
      <w:sz w:val="18"/>
      <w:vertAlign w:val="superscript"/>
    </w:rPr>
  </w:style>
  <w:style w:type="character" w:styleId="EndnoteReference">
    <w:name w:val="endnote reference"/>
    <w:aliases w:val="1_G"/>
    <w:basedOn w:val="FootnoteReference"/>
    <w:rsid w:val="00B75D73"/>
    <w:rPr>
      <w:rFonts w:ascii="Times New Roman" w:hAnsi="Times New Roman"/>
      <w:sz w:val="18"/>
      <w:vertAlign w:val="superscript"/>
    </w:rPr>
  </w:style>
  <w:style w:type="paragraph" w:styleId="Header">
    <w:name w:val="header"/>
    <w:aliases w:val="6_G"/>
    <w:basedOn w:val="Normal"/>
    <w:link w:val="HeaderChar"/>
    <w:rsid w:val="00B75D73"/>
    <w:pPr>
      <w:pBdr>
        <w:bottom w:val="single" w:sz="4" w:space="4" w:color="auto"/>
      </w:pBdr>
      <w:spacing w:line="240" w:lineRule="auto"/>
    </w:pPr>
    <w:rPr>
      <w:b/>
      <w:sz w:val="18"/>
    </w:rPr>
  </w:style>
  <w:style w:type="table" w:styleId="TableGrid">
    <w:name w:val="Table Grid"/>
    <w:basedOn w:val="TableNormal"/>
    <w:semiHidden/>
    <w:rsid w:val="00B75D7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B75D73"/>
    <w:rPr>
      <w:color w:val="auto"/>
      <w:u w:val="none"/>
    </w:rPr>
  </w:style>
  <w:style w:type="character" w:styleId="FollowedHyperlink">
    <w:name w:val="FollowedHyperlink"/>
    <w:semiHidden/>
    <w:rsid w:val="00B75D73"/>
    <w:rPr>
      <w:color w:val="auto"/>
      <w:u w:val="none"/>
    </w:rPr>
  </w:style>
  <w:style w:type="paragraph" w:customStyle="1" w:styleId="SMG">
    <w:name w:val="__S_M_G"/>
    <w:basedOn w:val="Normal"/>
    <w:next w:val="Normal"/>
    <w:rsid w:val="00B75D73"/>
    <w:pPr>
      <w:keepNext/>
      <w:keepLines/>
      <w:spacing w:before="240" w:after="240" w:line="420" w:lineRule="exact"/>
      <w:ind w:left="1134" w:right="1134"/>
    </w:pPr>
    <w:rPr>
      <w:b/>
      <w:sz w:val="40"/>
    </w:rPr>
  </w:style>
  <w:style w:type="paragraph" w:customStyle="1" w:styleId="SLG">
    <w:name w:val="__S_L_G"/>
    <w:basedOn w:val="Normal"/>
    <w:next w:val="Normal"/>
    <w:rsid w:val="00B75D73"/>
    <w:pPr>
      <w:keepNext/>
      <w:keepLines/>
      <w:spacing w:before="240" w:after="240" w:line="580" w:lineRule="exact"/>
      <w:ind w:left="1134" w:right="1134"/>
    </w:pPr>
    <w:rPr>
      <w:b/>
      <w:sz w:val="56"/>
    </w:rPr>
  </w:style>
  <w:style w:type="paragraph" w:customStyle="1" w:styleId="SSG">
    <w:name w:val="__S_S_G"/>
    <w:basedOn w:val="Normal"/>
    <w:next w:val="Normal"/>
    <w:rsid w:val="00B75D73"/>
    <w:pPr>
      <w:keepNext/>
      <w:keepLines/>
      <w:spacing w:before="240" w:after="240" w:line="300" w:lineRule="exact"/>
      <w:ind w:left="1134" w:right="1134"/>
    </w:pPr>
    <w:rPr>
      <w:b/>
      <w:sz w:val="28"/>
    </w:rPr>
  </w:style>
  <w:style w:type="paragraph" w:styleId="FootnoteText">
    <w:name w:val="footnote text"/>
    <w:aliases w:val="5_G,Footnote Text Char1,Footnote Text Char Char,FOOTNOTES,fn,single space,single space Char,footnote text Char,ft Char,ft,fn Char Char,fn Char Char Char Char,fn Char Char Char,Footnote Text Char1 Char Cha,footnote text,ADB,Char,ft Ch,f Ch"/>
    <w:basedOn w:val="Normal"/>
    <w:link w:val="FootnoteTextChar"/>
    <w:uiPriority w:val="99"/>
    <w:qFormat/>
    <w:rsid w:val="00B75D73"/>
    <w:pPr>
      <w:tabs>
        <w:tab w:val="right" w:pos="1021"/>
      </w:tabs>
      <w:spacing w:line="220" w:lineRule="exact"/>
      <w:ind w:left="1134" w:right="1134" w:hanging="1134"/>
    </w:pPr>
    <w:rPr>
      <w:sz w:val="18"/>
    </w:rPr>
  </w:style>
  <w:style w:type="paragraph" w:styleId="EndnoteText">
    <w:name w:val="endnote text"/>
    <w:aliases w:val="2_G"/>
    <w:basedOn w:val="FootnoteText"/>
    <w:rsid w:val="00B75D73"/>
  </w:style>
  <w:style w:type="character" w:styleId="PageNumber">
    <w:name w:val="page number"/>
    <w:aliases w:val="7_G"/>
    <w:rsid w:val="00B75D73"/>
    <w:rPr>
      <w:rFonts w:ascii="Times New Roman" w:hAnsi="Times New Roman"/>
      <w:b/>
      <w:sz w:val="18"/>
    </w:rPr>
  </w:style>
  <w:style w:type="paragraph" w:customStyle="1" w:styleId="XLargeG">
    <w:name w:val="__XLarge_G"/>
    <w:basedOn w:val="Normal"/>
    <w:next w:val="Normal"/>
    <w:rsid w:val="00B75D73"/>
    <w:pPr>
      <w:keepNext/>
      <w:keepLines/>
      <w:spacing w:before="240" w:after="240" w:line="420" w:lineRule="exact"/>
      <w:ind w:left="1134" w:right="1134"/>
    </w:pPr>
    <w:rPr>
      <w:b/>
      <w:sz w:val="40"/>
    </w:rPr>
  </w:style>
  <w:style w:type="paragraph" w:customStyle="1" w:styleId="Bullet1G">
    <w:name w:val="_Bullet 1_G"/>
    <w:basedOn w:val="Normal"/>
    <w:rsid w:val="00B75D73"/>
    <w:pPr>
      <w:numPr>
        <w:numId w:val="1"/>
      </w:numPr>
      <w:spacing w:after="120"/>
      <w:ind w:right="1134"/>
      <w:jc w:val="both"/>
    </w:pPr>
  </w:style>
  <w:style w:type="paragraph" w:styleId="Footer">
    <w:name w:val="footer"/>
    <w:aliases w:val="3_G"/>
    <w:basedOn w:val="Normal"/>
    <w:link w:val="FooterChar"/>
    <w:uiPriority w:val="99"/>
    <w:rsid w:val="00B75D73"/>
    <w:pPr>
      <w:spacing w:line="240" w:lineRule="auto"/>
    </w:pPr>
    <w:rPr>
      <w:sz w:val="16"/>
    </w:rPr>
  </w:style>
  <w:style w:type="paragraph" w:customStyle="1" w:styleId="Bullet2G">
    <w:name w:val="_Bullet 2_G"/>
    <w:basedOn w:val="Normal"/>
    <w:rsid w:val="00B75D73"/>
    <w:pPr>
      <w:numPr>
        <w:numId w:val="2"/>
      </w:numPr>
      <w:spacing w:after="120"/>
      <w:ind w:right="1134"/>
      <w:jc w:val="both"/>
    </w:pPr>
  </w:style>
  <w:style w:type="paragraph" w:customStyle="1" w:styleId="H1G">
    <w:name w:val="_ H_1_G"/>
    <w:basedOn w:val="Normal"/>
    <w:next w:val="Normal"/>
    <w:link w:val="H1GChar"/>
    <w:rsid w:val="00B75D7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75D7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75D7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75D73"/>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locked/>
    <w:rsid w:val="002D4C6A"/>
    <w:rPr>
      <w:lang w:eastAsia="en-US"/>
    </w:rPr>
  </w:style>
  <w:style w:type="character" w:customStyle="1" w:styleId="Heading2Char">
    <w:name w:val="Heading 2 Char"/>
    <w:link w:val="Heading2"/>
    <w:locked/>
    <w:rsid w:val="002D4C6A"/>
    <w:rPr>
      <w:lang w:eastAsia="en-US"/>
    </w:rPr>
  </w:style>
  <w:style w:type="character" w:customStyle="1" w:styleId="Heading3Char">
    <w:name w:val="Heading 3 Char"/>
    <w:link w:val="Heading3"/>
    <w:locked/>
    <w:rsid w:val="002D4C6A"/>
    <w:rPr>
      <w:lang w:eastAsia="en-US"/>
    </w:rPr>
  </w:style>
  <w:style w:type="character" w:styleId="Strong">
    <w:name w:val="Strong"/>
    <w:uiPriority w:val="22"/>
    <w:qFormat/>
    <w:rsid w:val="002D4C6A"/>
    <w:rPr>
      <w:b/>
    </w:rPr>
  </w:style>
  <w:style w:type="paragraph" w:customStyle="1" w:styleId="Default">
    <w:name w:val="Default"/>
    <w:rsid w:val="002D4C6A"/>
    <w:pPr>
      <w:autoSpaceDE w:val="0"/>
      <w:autoSpaceDN w:val="0"/>
      <w:adjustRightInd w:val="0"/>
    </w:pPr>
    <w:rPr>
      <w:rFonts w:eastAsia="SimSun"/>
      <w:color w:val="000000"/>
      <w:sz w:val="24"/>
      <w:szCs w:val="24"/>
      <w:lang w:val="en-US" w:eastAsia="zh-CN"/>
    </w:rPr>
  </w:style>
  <w:style w:type="character" w:customStyle="1" w:styleId="SingleTxtGChar">
    <w:name w:val="_ Single Txt_G Char"/>
    <w:link w:val="SingleTxtG"/>
    <w:locked/>
    <w:rsid w:val="002D4C6A"/>
    <w:rPr>
      <w:lang w:eastAsia="en-US"/>
    </w:rPr>
  </w:style>
  <w:style w:type="character" w:customStyle="1" w:styleId="FootnoteTextChar">
    <w:name w:val="Footnote Text Char"/>
    <w:aliases w:val="5_G Char,Footnote Text Char1 Char,Footnote Text Char Char Char,FOOTNOTES Char,fn Char,single space Char1,single space Char Char,footnote text Char Char,ft Char Char,ft Char1,fn Char Char Char1,fn Char Char Char Char Char,ADB Char"/>
    <w:link w:val="FootnoteText"/>
    <w:uiPriority w:val="99"/>
    <w:locked/>
    <w:rsid w:val="002D4C6A"/>
    <w:rPr>
      <w:sz w:val="18"/>
      <w:lang w:eastAsia="en-US"/>
    </w:rPr>
  </w:style>
  <w:style w:type="character" w:customStyle="1" w:styleId="Bulletpoint1Char">
    <w:name w:val="Bulletpoint_1 Char"/>
    <w:link w:val="Bulletpoint1"/>
    <w:locked/>
    <w:rsid w:val="002D4C6A"/>
    <w:rPr>
      <w:lang w:val="en-US" w:eastAsia="x-none"/>
    </w:rPr>
  </w:style>
  <w:style w:type="paragraph" w:customStyle="1" w:styleId="Bulletpoint1">
    <w:name w:val="Bulletpoint_1"/>
    <w:basedOn w:val="Normal"/>
    <w:link w:val="Bulletpoint1Char"/>
    <w:rsid w:val="002D4C6A"/>
    <w:pPr>
      <w:widowControl w:val="0"/>
      <w:tabs>
        <w:tab w:val="num" w:pos="720"/>
      </w:tabs>
      <w:suppressAutoHyphens w:val="0"/>
      <w:snapToGrid w:val="0"/>
      <w:spacing w:after="120" w:line="240" w:lineRule="auto"/>
      <w:ind w:left="720" w:hanging="360"/>
      <w:jc w:val="both"/>
    </w:pPr>
    <w:rPr>
      <w:lang w:val="en-US" w:eastAsia="x-none"/>
    </w:rPr>
  </w:style>
  <w:style w:type="paragraph" w:customStyle="1" w:styleId="ColorfulList-Accent11">
    <w:name w:val="Colorful List - Accent 11"/>
    <w:basedOn w:val="Normal"/>
    <w:uiPriority w:val="34"/>
    <w:qFormat/>
    <w:rsid w:val="002D4C6A"/>
    <w:pPr>
      <w:suppressAutoHyphens w:val="0"/>
      <w:spacing w:line="240" w:lineRule="auto"/>
      <w:ind w:left="708"/>
    </w:pPr>
    <w:rPr>
      <w:rFonts w:eastAsia="Calibri"/>
      <w:sz w:val="24"/>
      <w:szCs w:val="24"/>
      <w:lang w:val="de-DE" w:eastAsia="de-DE"/>
    </w:rPr>
  </w:style>
  <w:style w:type="character" w:customStyle="1" w:styleId="HChGChar">
    <w:name w:val="_ H _Ch_G Char"/>
    <w:link w:val="HChG"/>
    <w:locked/>
    <w:rsid w:val="002D4C6A"/>
    <w:rPr>
      <w:b/>
      <w:sz w:val="28"/>
      <w:lang w:eastAsia="en-US"/>
    </w:rPr>
  </w:style>
  <w:style w:type="character" w:styleId="Emphasis">
    <w:name w:val="Emphasis"/>
    <w:uiPriority w:val="20"/>
    <w:qFormat/>
    <w:rsid w:val="002D4C6A"/>
    <w:rPr>
      <w:rFonts w:cs="Times New Roman"/>
      <w:b/>
      <w:bCs/>
    </w:rPr>
  </w:style>
  <w:style w:type="character" w:customStyle="1" w:styleId="st">
    <w:name w:val="st"/>
    <w:rsid w:val="002D4C6A"/>
    <w:rPr>
      <w:rFonts w:cs="Times New Roman"/>
    </w:rPr>
  </w:style>
  <w:style w:type="character" w:customStyle="1" w:styleId="H1GChar">
    <w:name w:val="_ H_1_G Char"/>
    <w:link w:val="H1G"/>
    <w:rsid w:val="002D4C6A"/>
    <w:rPr>
      <w:b/>
      <w:sz w:val="24"/>
      <w:lang w:eastAsia="en-US"/>
    </w:rPr>
  </w:style>
  <w:style w:type="paragraph" w:styleId="BalloonText">
    <w:name w:val="Balloon Text"/>
    <w:basedOn w:val="Normal"/>
    <w:link w:val="BalloonTextChar"/>
    <w:rsid w:val="002D4C6A"/>
    <w:rPr>
      <w:rFonts w:ascii="Tahoma" w:hAnsi="Tahoma"/>
      <w:sz w:val="16"/>
      <w:szCs w:val="16"/>
      <w:lang w:val="x-none"/>
    </w:rPr>
  </w:style>
  <w:style w:type="character" w:customStyle="1" w:styleId="BalloonTextChar">
    <w:name w:val="Balloon Text Char"/>
    <w:basedOn w:val="DefaultParagraphFont"/>
    <w:link w:val="BalloonText"/>
    <w:rsid w:val="002D4C6A"/>
    <w:rPr>
      <w:rFonts w:ascii="Tahoma" w:hAnsi="Tahoma"/>
      <w:sz w:val="16"/>
      <w:szCs w:val="16"/>
      <w:lang w:val="x-none" w:eastAsia="en-US"/>
    </w:rPr>
  </w:style>
  <w:style w:type="character" w:styleId="CommentReference">
    <w:name w:val="annotation reference"/>
    <w:uiPriority w:val="99"/>
    <w:rsid w:val="002D4C6A"/>
    <w:rPr>
      <w:sz w:val="16"/>
      <w:szCs w:val="16"/>
    </w:rPr>
  </w:style>
  <w:style w:type="paragraph" w:styleId="CommentText">
    <w:name w:val="annotation text"/>
    <w:basedOn w:val="Normal"/>
    <w:link w:val="CommentTextChar1"/>
    <w:uiPriority w:val="99"/>
    <w:rsid w:val="002D4C6A"/>
    <w:rPr>
      <w:lang w:val="x-none"/>
    </w:rPr>
  </w:style>
  <w:style w:type="character" w:customStyle="1" w:styleId="CommentTextChar">
    <w:name w:val="Comment Text Char"/>
    <w:basedOn w:val="DefaultParagraphFont"/>
    <w:uiPriority w:val="99"/>
    <w:rsid w:val="002D4C6A"/>
    <w:rPr>
      <w:lang w:eastAsia="en-US"/>
    </w:rPr>
  </w:style>
  <w:style w:type="character" w:customStyle="1" w:styleId="CommentTextChar1">
    <w:name w:val="Comment Text Char1"/>
    <w:link w:val="CommentText"/>
    <w:uiPriority w:val="99"/>
    <w:rsid w:val="002D4C6A"/>
    <w:rPr>
      <w:lang w:val="x-none" w:eastAsia="en-US"/>
    </w:rPr>
  </w:style>
  <w:style w:type="paragraph" w:styleId="CommentSubject">
    <w:name w:val="annotation subject"/>
    <w:basedOn w:val="CommentText"/>
    <w:next w:val="CommentText"/>
    <w:link w:val="CommentSubjectChar"/>
    <w:rsid w:val="002D4C6A"/>
    <w:rPr>
      <w:b/>
      <w:bCs/>
    </w:rPr>
  </w:style>
  <w:style w:type="character" w:customStyle="1" w:styleId="CommentSubjectChar">
    <w:name w:val="Comment Subject Char"/>
    <w:basedOn w:val="CommentTextChar"/>
    <w:link w:val="CommentSubject"/>
    <w:rsid w:val="002D4C6A"/>
    <w:rPr>
      <w:b/>
      <w:bCs/>
      <w:lang w:val="x-none" w:eastAsia="en-US"/>
    </w:rPr>
  </w:style>
  <w:style w:type="character" w:customStyle="1" w:styleId="HeaderChar">
    <w:name w:val="Header Char"/>
    <w:aliases w:val="6_G Char"/>
    <w:link w:val="Header"/>
    <w:rsid w:val="002D4C6A"/>
    <w:rPr>
      <w:b/>
      <w:sz w:val="18"/>
      <w:lang w:eastAsia="en-US"/>
    </w:rPr>
  </w:style>
  <w:style w:type="character" w:customStyle="1" w:styleId="FooterChar">
    <w:name w:val="Footer Char"/>
    <w:aliases w:val="3_G Char"/>
    <w:link w:val="Footer"/>
    <w:uiPriority w:val="99"/>
    <w:rsid w:val="002D4C6A"/>
    <w:rPr>
      <w:sz w:val="16"/>
      <w:lang w:eastAsia="en-US"/>
    </w:rPr>
  </w:style>
  <w:style w:type="paragraph" w:styleId="DocumentMap">
    <w:name w:val="Document Map"/>
    <w:basedOn w:val="Normal"/>
    <w:link w:val="DocumentMapChar"/>
    <w:rsid w:val="002D4C6A"/>
    <w:pPr>
      <w:suppressAutoHyphens w:val="0"/>
      <w:spacing w:line="240" w:lineRule="auto"/>
    </w:pPr>
    <w:rPr>
      <w:rFonts w:ascii="Tahoma" w:eastAsia="Calibri" w:hAnsi="Tahoma"/>
      <w:sz w:val="16"/>
      <w:szCs w:val="16"/>
      <w:lang w:val="en-US" w:eastAsia="zh-CN"/>
    </w:rPr>
  </w:style>
  <w:style w:type="character" w:customStyle="1" w:styleId="DocumentMapChar">
    <w:name w:val="Document Map Char"/>
    <w:basedOn w:val="DefaultParagraphFont"/>
    <w:link w:val="DocumentMap"/>
    <w:rsid w:val="002D4C6A"/>
    <w:rPr>
      <w:rFonts w:ascii="Tahoma" w:eastAsia="Calibri" w:hAnsi="Tahoma"/>
      <w:sz w:val="16"/>
      <w:szCs w:val="16"/>
      <w:lang w:val="en-US" w:eastAsia="zh-CN"/>
    </w:rPr>
  </w:style>
  <w:style w:type="character" w:customStyle="1" w:styleId="highlight1">
    <w:name w:val="highlight1"/>
    <w:rsid w:val="002D4C6A"/>
    <w:rPr>
      <w:shd w:val="clear" w:color="auto" w:fill="FFCC33"/>
    </w:rPr>
  </w:style>
  <w:style w:type="paragraph" w:styleId="NormalWeb">
    <w:name w:val="Normal (Web)"/>
    <w:basedOn w:val="Normal"/>
    <w:uiPriority w:val="99"/>
    <w:unhideWhenUsed/>
    <w:rsid w:val="002D4C6A"/>
    <w:pPr>
      <w:suppressAutoHyphens w:val="0"/>
      <w:spacing w:before="100" w:beforeAutospacing="1" w:after="100" w:afterAutospacing="1" w:line="240" w:lineRule="auto"/>
    </w:pPr>
    <w:rPr>
      <w:sz w:val="24"/>
      <w:szCs w:val="24"/>
      <w:lang w:eastAsia="en-GB"/>
    </w:rPr>
  </w:style>
  <w:style w:type="character" w:customStyle="1" w:styleId="hps">
    <w:name w:val="hps"/>
    <w:rsid w:val="002D4C6A"/>
  </w:style>
  <w:style w:type="character" w:customStyle="1" w:styleId="apple-converted-space">
    <w:name w:val="apple-converted-space"/>
    <w:rsid w:val="002D4C6A"/>
  </w:style>
  <w:style w:type="character" w:customStyle="1" w:styleId="highlight">
    <w:name w:val="highlight"/>
    <w:rsid w:val="002D4C6A"/>
  </w:style>
  <w:style w:type="numbering" w:customStyle="1" w:styleId="NoList1">
    <w:name w:val="No List1"/>
    <w:next w:val="NoList"/>
    <w:uiPriority w:val="99"/>
    <w:semiHidden/>
    <w:unhideWhenUsed/>
    <w:rsid w:val="002D4C6A"/>
  </w:style>
  <w:style w:type="paragraph" w:customStyle="1" w:styleId="ListParagraph1">
    <w:name w:val="List Paragraph1"/>
    <w:basedOn w:val="Normal"/>
    <w:uiPriority w:val="34"/>
    <w:qFormat/>
    <w:rsid w:val="002D4C6A"/>
    <w:pPr>
      <w:suppressAutoHyphens w:val="0"/>
      <w:spacing w:line="240" w:lineRule="auto"/>
      <w:ind w:left="720"/>
    </w:pPr>
    <w:rPr>
      <w:rFonts w:eastAsia="Malgun Gothic"/>
      <w:sz w:val="24"/>
      <w:szCs w:val="24"/>
      <w:lang w:val="en-US" w:eastAsia="zh-CN"/>
    </w:rPr>
  </w:style>
  <w:style w:type="character" w:customStyle="1" w:styleId="st1">
    <w:name w:val="st1"/>
    <w:rsid w:val="002D4C6A"/>
  </w:style>
  <w:style w:type="character" w:customStyle="1" w:styleId="apple-style-span">
    <w:name w:val="apple-style-span"/>
    <w:rsid w:val="002D4C6A"/>
  </w:style>
  <w:style w:type="character" w:styleId="HTMLTypewriter">
    <w:name w:val="HTML Typewriter"/>
    <w:uiPriority w:val="99"/>
    <w:unhideWhenUsed/>
    <w:rsid w:val="002D4C6A"/>
    <w:rPr>
      <w:rFonts w:ascii="Courier New" w:eastAsia="Times New Roman" w:hAnsi="Courier New" w:cs="Courier New"/>
      <w:sz w:val="20"/>
      <w:szCs w:val="20"/>
    </w:rPr>
  </w:style>
  <w:style w:type="character" w:styleId="HTMLCite">
    <w:name w:val="HTML Cite"/>
    <w:rsid w:val="002D4C6A"/>
    <w:rPr>
      <w:i/>
      <w:iCs/>
    </w:rPr>
  </w:style>
  <w:style w:type="character" w:customStyle="1" w:styleId="highlightselected">
    <w:name w:val="highlight selected"/>
    <w:basedOn w:val="DefaultParagraphFont"/>
    <w:rsid w:val="002D4C6A"/>
  </w:style>
  <w:style w:type="paragraph" w:styleId="BodyText2">
    <w:name w:val="Body Text 2"/>
    <w:basedOn w:val="Normal"/>
    <w:link w:val="BodyText2Char"/>
    <w:rsid w:val="002D4C6A"/>
    <w:pPr>
      <w:suppressAutoHyphens w:val="0"/>
      <w:spacing w:after="240" w:line="240" w:lineRule="auto"/>
    </w:pPr>
    <w:rPr>
      <w:b/>
      <w:sz w:val="24"/>
      <w:lang w:val="x-none"/>
    </w:rPr>
  </w:style>
  <w:style w:type="character" w:customStyle="1" w:styleId="BodyText2Char">
    <w:name w:val="Body Text 2 Char"/>
    <w:basedOn w:val="DefaultParagraphFont"/>
    <w:link w:val="BodyText2"/>
    <w:rsid w:val="002D4C6A"/>
    <w:rPr>
      <w:b/>
      <w:sz w:val="24"/>
      <w:lang w:val="x-none" w:eastAsia="en-US"/>
    </w:rPr>
  </w:style>
  <w:style w:type="character" w:customStyle="1" w:styleId="shorttext">
    <w:name w:val="short_text"/>
    <w:rsid w:val="002D4C6A"/>
  </w:style>
  <w:style w:type="paragraph" w:styleId="NoSpacing">
    <w:name w:val="No Spacing"/>
    <w:link w:val="NoSpacingChar"/>
    <w:uiPriority w:val="1"/>
    <w:qFormat/>
    <w:rsid w:val="002D4C6A"/>
    <w:rPr>
      <w:rFonts w:ascii="Calibri" w:eastAsia="MS Mincho" w:hAnsi="Calibri" w:cs="Arial"/>
      <w:sz w:val="22"/>
      <w:szCs w:val="22"/>
      <w:lang w:val="en-US" w:eastAsia="ja-JP"/>
    </w:rPr>
  </w:style>
  <w:style w:type="character" w:customStyle="1" w:styleId="NoSpacingChar">
    <w:name w:val="No Spacing Char"/>
    <w:link w:val="NoSpacing"/>
    <w:uiPriority w:val="1"/>
    <w:rsid w:val="002D4C6A"/>
    <w:rPr>
      <w:rFonts w:ascii="Calibri" w:eastAsia="MS Mincho" w:hAnsi="Calibri" w:cs="Arial"/>
      <w:sz w:val="22"/>
      <w:szCs w:val="22"/>
      <w:lang w:val="en-US" w:eastAsia="ja-JP"/>
    </w:rPr>
  </w:style>
  <w:style w:type="paragraph" w:styleId="ListParagraph">
    <w:name w:val="List Paragraph"/>
    <w:basedOn w:val="Normal"/>
    <w:uiPriority w:val="34"/>
    <w:qFormat/>
    <w:rsid w:val="002D4C6A"/>
    <w:pPr>
      <w:ind w:left="720"/>
    </w:p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265A6A"/>
    <w:pPr>
      <w:suppressAutoHyphens w:val="0"/>
      <w:spacing w:after="160" w:line="240" w:lineRule="exact"/>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UN%20Docs%202010\CRC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D7D0E-ABEC-4856-9EB9-E75FCA847AC0}"/>
</file>

<file path=customXml/itemProps2.xml><?xml version="1.0" encoding="utf-8"?>
<ds:datastoreItem xmlns:ds="http://schemas.openxmlformats.org/officeDocument/2006/customXml" ds:itemID="{BCDAFCF2-E5A7-4A8F-9366-A87453314D51}"/>
</file>

<file path=customXml/itemProps3.xml><?xml version="1.0" encoding="utf-8"?>
<ds:datastoreItem xmlns:ds="http://schemas.openxmlformats.org/officeDocument/2006/customXml" ds:itemID="{9D2279FE-BB0B-45FC-ACE1-8306956DAC99}"/>
</file>

<file path=customXml/itemProps4.xml><?xml version="1.0" encoding="utf-8"?>
<ds:datastoreItem xmlns:ds="http://schemas.openxmlformats.org/officeDocument/2006/customXml" ds:itemID="{99493FD4-0402-4065-9725-FD6740339199}"/>
</file>

<file path=docProps/app.xml><?xml version="1.0" encoding="utf-8"?>
<Properties xmlns="http://schemas.openxmlformats.org/officeDocument/2006/extended-properties" xmlns:vt="http://schemas.openxmlformats.org/officeDocument/2006/docPropsVTypes">
  <Template>CRC_E.dotm</Template>
  <TotalTime>4</TotalTime>
  <Pages>21</Pages>
  <Words>9024</Words>
  <Characters>51438</Characters>
  <Application>Microsoft Office Word</Application>
  <DocSecurity>0</DocSecurity>
  <Lines>428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Boit James</dc:creator>
  <cp:lastModifiedBy>Boit James</cp:lastModifiedBy>
  <cp:revision>3</cp:revision>
  <cp:lastPrinted>2016-06-06T14:33:00Z</cp:lastPrinted>
  <dcterms:created xsi:type="dcterms:W3CDTF">2016-06-07T05:09:00Z</dcterms:created>
  <dcterms:modified xsi:type="dcterms:W3CDTF">2016-06-07T05:12:00Z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